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3DB1" w14:textId="43307491" w:rsidR="003B2113" w:rsidRPr="007F26A9" w:rsidRDefault="004A632B" w:rsidP="00D67446">
      <w:pPr>
        <w:jc w:val="center"/>
        <w:rPr>
          <w:b/>
          <w:bCs/>
          <w:lang w:val="lt-LT"/>
        </w:rPr>
      </w:pPr>
      <w:r w:rsidRPr="007F26A9">
        <w:rPr>
          <w:b/>
          <w:bCs/>
          <w:lang w:val="lt-LT"/>
        </w:rPr>
        <w:t xml:space="preserve">Žilvino </w:t>
      </w:r>
      <w:proofErr w:type="spellStart"/>
      <w:r w:rsidRPr="007F26A9">
        <w:rPr>
          <w:b/>
          <w:bCs/>
          <w:lang w:val="lt-LT"/>
        </w:rPr>
        <w:t>Šilėno</w:t>
      </w:r>
      <w:proofErr w:type="spellEnd"/>
      <w:r w:rsidRPr="007F26A9">
        <w:rPr>
          <w:b/>
          <w:bCs/>
          <w:lang w:val="lt-LT"/>
        </w:rPr>
        <w:t xml:space="preserve"> ir Marijos Vyšniauskaitės</w:t>
      </w:r>
    </w:p>
    <w:p w14:paraId="700367A9" w14:textId="37E74A68" w:rsidR="00D67446" w:rsidRPr="007F26A9" w:rsidRDefault="003B2113" w:rsidP="00D67446">
      <w:pPr>
        <w:jc w:val="center"/>
        <w:rPr>
          <w:b/>
          <w:bCs/>
          <w:lang w:val="lt-LT"/>
        </w:rPr>
      </w:pPr>
      <w:r w:rsidRPr="007F26A9">
        <w:rPr>
          <w:b/>
          <w:bCs/>
          <w:lang w:val="lt-LT"/>
        </w:rPr>
        <w:t>v</w:t>
      </w:r>
      <w:r w:rsidR="00D67446" w:rsidRPr="007F26A9">
        <w:rPr>
          <w:b/>
          <w:bCs/>
          <w:lang w:val="lt-LT"/>
        </w:rPr>
        <w:t>adovėlio „Ekonomika per 31 valandą“ recenzija</w:t>
      </w:r>
    </w:p>
    <w:p w14:paraId="23D79868" w14:textId="77777777" w:rsidR="00D67446" w:rsidRPr="009B441D" w:rsidRDefault="00D67446" w:rsidP="00D67446">
      <w:pPr>
        <w:jc w:val="center"/>
        <w:rPr>
          <w:lang w:val="lt-LT"/>
        </w:rPr>
      </w:pPr>
    </w:p>
    <w:p w14:paraId="557ADEBD" w14:textId="18AB8FB4" w:rsidR="00AD045A" w:rsidRPr="009B441D" w:rsidRDefault="00AD045A" w:rsidP="007D3C2E">
      <w:pPr>
        <w:jc w:val="both"/>
        <w:rPr>
          <w:lang w:val="lt-LT"/>
        </w:rPr>
      </w:pPr>
      <w:r w:rsidRPr="009B441D">
        <w:rPr>
          <w:lang w:val="lt-LT"/>
        </w:rPr>
        <w:t xml:space="preserve">Ekonomikos vadovėlių pasirinkimas, </w:t>
      </w:r>
      <w:r w:rsidR="00751D2B">
        <w:rPr>
          <w:lang w:val="lt-LT"/>
        </w:rPr>
        <w:t xml:space="preserve">ypač </w:t>
      </w:r>
      <w:r w:rsidRPr="009B441D">
        <w:rPr>
          <w:lang w:val="lt-LT"/>
        </w:rPr>
        <w:t xml:space="preserve">kalbantiems angliškai, yra </w:t>
      </w:r>
      <w:r w:rsidR="00751D2B">
        <w:rPr>
          <w:lang w:val="lt-LT"/>
        </w:rPr>
        <w:t>labai</w:t>
      </w:r>
      <w:r w:rsidRPr="009B441D">
        <w:rPr>
          <w:lang w:val="lt-LT"/>
        </w:rPr>
        <w:t xml:space="preserve"> gausus; </w:t>
      </w:r>
      <w:r w:rsidR="00751D2B">
        <w:rPr>
          <w:lang w:val="lt-LT"/>
        </w:rPr>
        <w:t xml:space="preserve">tiesa, </w:t>
      </w:r>
      <w:r w:rsidRPr="009B441D">
        <w:rPr>
          <w:lang w:val="lt-LT"/>
        </w:rPr>
        <w:t xml:space="preserve">jų nestinga ir lietuviškai. </w:t>
      </w:r>
      <w:r w:rsidR="006F2D70">
        <w:rPr>
          <w:lang w:val="lt-LT"/>
        </w:rPr>
        <w:t>Visgi</w:t>
      </w:r>
      <w:r w:rsidRPr="009B441D">
        <w:rPr>
          <w:lang w:val="lt-LT"/>
        </w:rPr>
        <w:t xml:space="preserve"> šiuolaikinių, teikiančių pirmenybę ekonomikos dėsnių pastebėjimui, ekonomikos įžvalgų kasdieniam taikymui ir priartinančių ekonomiką prie į tiksliuosius mokslus nelinkusių moksleivių nėra daug.</w:t>
      </w:r>
    </w:p>
    <w:p w14:paraId="185FDC92" w14:textId="77777777" w:rsidR="00AD045A" w:rsidRPr="009B441D" w:rsidRDefault="00AD045A" w:rsidP="007D3C2E">
      <w:pPr>
        <w:jc w:val="both"/>
        <w:rPr>
          <w:lang w:val="lt-LT"/>
        </w:rPr>
      </w:pPr>
    </w:p>
    <w:p w14:paraId="666EDCB2" w14:textId="6BA339DA" w:rsidR="005E0638" w:rsidRPr="009B441D" w:rsidRDefault="00AD045A" w:rsidP="007D3C2E">
      <w:pPr>
        <w:jc w:val="both"/>
        <w:rPr>
          <w:lang w:val="lt-LT"/>
        </w:rPr>
      </w:pPr>
      <w:r w:rsidRPr="009B441D">
        <w:rPr>
          <w:lang w:val="lt-LT"/>
        </w:rPr>
        <w:t xml:space="preserve">Mano galva, Ž. </w:t>
      </w:r>
      <w:proofErr w:type="spellStart"/>
      <w:r w:rsidRPr="009B441D">
        <w:rPr>
          <w:lang w:val="lt-LT"/>
        </w:rPr>
        <w:t>Šilėno</w:t>
      </w:r>
      <w:proofErr w:type="spellEnd"/>
      <w:r w:rsidRPr="009B441D">
        <w:rPr>
          <w:lang w:val="lt-LT"/>
        </w:rPr>
        <w:t xml:space="preserve"> ir M. Vyšniauskaitės</w:t>
      </w:r>
      <w:r w:rsidR="005E0638" w:rsidRPr="009B441D">
        <w:rPr>
          <w:lang w:val="lt-LT"/>
        </w:rPr>
        <w:t xml:space="preserve"> vadovėlio</w:t>
      </w:r>
      <w:r w:rsidRPr="009B441D">
        <w:rPr>
          <w:lang w:val="lt-LT"/>
        </w:rPr>
        <w:t xml:space="preserve"> „Ekonomika per 31 valandą“</w:t>
      </w:r>
      <w:r w:rsidR="00A56D44">
        <w:rPr>
          <w:lang w:val="lt-LT"/>
        </w:rPr>
        <w:t xml:space="preserve"> ir yra būtent toks</w:t>
      </w:r>
      <w:r w:rsidR="00512E5E">
        <w:rPr>
          <w:lang w:val="lt-LT"/>
        </w:rPr>
        <w:t>. Šio vadovėlio</w:t>
      </w:r>
      <w:r w:rsidRPr="009B441D">
        <w:rPr>
          <w:lang w:val="lt-LT"/>
        </w:rPr>
        <w:t xml:space="preserve"> didžiausias privalumas yra </w:t>
      </w:r>
      <w:r w:rsidR="009B441D">
        <w:rPr>
          <w:lang w:val="lt-LT"/>
        </w:rPr>
        <w:t xml:space="preserve">labai </w:t>
      </w:r>
      <w:r w:rsidRPr="009B441D">
        <w:rPr>
          <w:lang w:val="lt-LT"/>
        </w:rPr>
        <w:t>draugišk</w:t>
      </w:r>
      <w:r w:rsidR="009B441D">
        <w:rPr>
          <w:lang w:val="lt-LT"/>
        </w:rPr>
        <w:t>as</w:t>
      </w:r>
      <w:r w:rsidRPr="009B441D">
        <w:rPr>
          <w:lang w:val="lt-LT"/>
        </w:rPr>
        <w:t xml:space="preserve"> ekonomikos idėjų pateikimas</w:t>
      </w:r>
      <w:r w:rsidR="005E0638" w:rsidRPr="009B441D">
        <w:rPr>
          <w:lang w:val="lt-LT"/>
        </w:rPr>
        <w:t xml:space="preserve"> įvairaus profilio ir polinkių moksleiviams, pabrėžiant plačias ekonomikos taikymo galimybes. Vadovėlio </w:t>
      </w:r>
      <w:r w:rsidR="000D2AA6">
        <w:rPr>
          <w:lang w:val="lt-LT"/>
        </w:rPr>
        <w:t>stiprybės</w:t>
      </w:r>
      <w:r w:rsidR="005E0638" w:rsidRPr="009B441D">
        <w:rPr>
          <w:lang w:val="lt-LT"/>
        </w:rPr>
        <w:t xml:space="preserve"> – realių situacijų sąsajos su ekonominėmis idėjomis ir sąvokomis, patrauklus medžiagos pateikimas, gerai apgalvoti naratyvai, interaktyvumas (nuorodos su duomenimis, </w:t>
      </w:r>
      <w:proofErr w:type="spellStart"/>
      <w:r w:rsidR="005E0638" w:rsidRPr="009B441D">
        <w:rPr>
          <w:lang w:val="lt-LT"/>
        </w:rPr>
        <w:t>video</w:t>
      </w:r>
      <w:proofErr w:type="spellEnd"/>
      <w:r w:rsidR="005E0638" w:rsidRPr="009B441D">
        <w:rPr>
          <w:lang w:val="lt-LT"/>
        </w:rPr>
        <w:t xml:space="preserve">, kita papildančia medžiaga), skirtingi sudominimo ir </w:t>
      </w:r>
      <w:proofErr w:type="spellStart"/>
      <w:r w:rsidR="005E0638" w:rsidRPr="009B441D">
        <w:rPr>
          <w:lang w:val="lt-LT"/>
        </w:rPr>
        <w:t>įtraukties</w:t>
      </w:r>
      <w:proofErr w:type="spellEnd"/>
      <w:r w:rsidR="005E0638" w:rsidRPr="009B441D">
        <w:rPr>
          <w:lang w:val="lt-LT"/>
        </w:rPr>
        <w:t xml:space="preserve"> būdai (diskusijos, situacijų nagrinėjimas, darbas grupėse ir individualiai, skaičiavimo ir rašymo užduotys, ištraukos iš skirtingų sričių ir interesų grupių atstovų pasisakymų (pvz., kalbant apie minimalų atlyginimą)</w:t>
      </w:r>
      <w:r w:rsidR="00A831D1">
        <w:rPr>
          <w:lang w:val="lt-LT"/>
        </w:rPr>
        <w:t>, t.t.)</w:t>
      </w:r>
      <w:r w:rsidR="005E0638" w:rsidRPr="009B441D">
        <w:rPr>
          <w:lang w:val="lt-LT"/>
        </w:rPr>
        <w:t xml:space="preserve">. </w:t>
      </w:r>
    </w:p>
    <w:p w14:paraId="100085CD" w14:textId="77777777" w:rsidR="001F40FF" w:rsidRPr="009B441D" w:rsidRDefault="001F40FF" w:rsidP="007D3C2E">
      <w:pPr>
        <w:jc w:val="both"/>
        <w:rPr>
          <w:lang w:val="lt-LT"/>
        </w:rPr>
      </w:pPr>
    </w:p>
    <w:p w14:paraId="1BC58D2E" w14:textId="77FF2861" w:rsidR="001F40FF" w:rsidRPr="009B441D" w:rsidRDefault="001F40FF" w:rsidP="007D3C2E">
      <w:pPr>
        <w:jc w:val="both"/>
        <w:rPr>
          <w:lang w:val="lt-LT"/>
        </w:rPr>
      </w:pPr>
      <w:r w:rsidRPr="009B441D">
        <w:rPr>
          <w:lang w:val="lt-LT"/>
        </w:rPr>
        <w:t xml:space="preserve">Vadovėlis </w:t>
      </w:r>
      <w:r w:rsidR="00017C53" w:rsidRPr="009B441D">
        <w:rPr>
          <w:lang w:val="lt-LT"/>
        </w:rPr>
        <w:t>gali būti puikus tramplynas gilesnėms, labiau formalizuotoms, matematiškai griežtesnėms ekonomikos studijoms vyresnėse klasėse. Autoriai sugeba panaudoti įvairius medžiagos pateikimo būdus; mano rekomendacija būtų</w:t>
      </w:r>
      <w:r w:rsidR="0074106F">
        <w:rPr>
          <w:lang w:val="lt-LT"/>
        </w:rPr>
        <w:t xml:space="preserve"> </w:t>
      </w:r>
      <w:r w:rsidR="0074106F" w:rsidRPr="009B441D">
        <w:rPr>
          <w:lang w:val="lt-LT"/>
        </w:rPr>
        <w:t>pateikti</w:t>
      </w:r>
      <w:r w:rsidR="00017C53" w:rsidRPr="009B441D">
        <w:rPr>
          <w:lang w:val="lt-LT"/>
        </w:rPr>
        <w:t xml:space="preserve"> dar daugiau grafinės (duomenimis grįstos) medžiagos, skatinant moksleivius analizuoti ir interpretuoti duomenis, pradėti įžvelgti sąryšius, susimąstyti apie ekonominių kintamųjų matavimą</w:t>
      </w:r>
      <w:r w:rsidR="0083640E">
        <w:rPr>
          <w:lang w:val="lt-LT"/>
        </w:rPr>
        <w:t>, taip vadovėlį labiau priartinant prie šiuolaikinės, duomenimis grįstos, ekonomikos</w:t>
      </w:r>
      <w:r w:rsidR="00017C53" w:rsidRPr="009B441D">
        <w:rPr>
          <w:lang w:val="lt-LT"/>
        </w:rPr>
        <w:t>.</w:t>
      </w:r>
      <w:r w:rsidR="0074106F">
        <w:rPr>
          <w:rStyle w:val="FootnoteReference"/>
          <w:lang w:val="lt-LT"/>
        </w:rPr>
        <w:footnoteReference w:id="1"/>
      </w:r>
    </w:p>
    <w:p w14:paraId="69A79586" w14:textId="77777777" w:rsidR="001246BC" w:rsidRPr="009B441D" w:rsidRDefault="001246BC" w:rsidP="007D3C2E">
      <w:pPr>
        <w:jc w:val="both"/>
        <w:rPr>
          <w:lang w:val="lt-LT"/>
        </w:rPr>
      </w:pPr>
    </w:p>
    <w:p w14:paraId="35250EC7" w14:textId="4F999D3C" w:rsidR="001246BC" w:rsidRPr="009B441D" w:rsidRDefault="001246BC" w:rsidP="007D3C2E">
      <w:pPr>
        <w:jc w:val="both"/>
        <w:rPr>
          <w:lang w:val="lt-LT"/>
        </w:rPr>
      </w:pPr>
      <w:r w:rsidRPr="009B441D">
        <w:rPr>
          <w:lang w:val="lt-LT"/>
        </w:rPr>
        <w:t xml:space="preserve">Vadovėlio autoriai </w:t>
      </w:r>
      <w:r w:rsidR="00565E8B" w:rsidRPr="009B441D">
        <w:rPr>
          <w:lang w:val="lt-LT"/>
        </w:rPr>
        <w:t xml:space="preserve">padeda moksleiviui griauti ne vieną mitą, pabrėžia priežasties-pasekmės  ryšius, skatina skaitytoją kūrybiškai interpretuoti pamokos medžiagą. </w:t>
      </w:r>
      <w:r w:rsidR="00AA73E8" w:rsidRPr="009B441D">
        <w:rPr>
          <w:lang w:val="lt-LT"/>
        </w:rPr>
        <w:t>Aš paskatinčiau autorius mesti dar didesnius iššūkius moksleiviams, skatinant jų ekonominį mąstymą.</w:t>
      </w:r>
      <w:r w:rsidR="00AA73E8" w:rsidRPr="009B441D">
        <w:rPr>
          <w:rStyle w:val="FootnoteReference"/>
          <w:lang w:val="lt-LT"/>
        </w:rPr>
        <w:footnoteReference w:id="2"/>
      </w:r>
      <w:r w:rsidR="00AA73E8" w:rsidRPr="009B441D">
        <w:rPr>
          <w:lang w:val="lt-LT"/>
        </w:rPr>
        <w:t xml:space="preserve"> </w:t>
      </w:r>
      <w:r w:rsidR="009E059F" w:rsidRPr="009B441D">
        <w:rPr>
          <w:lang w:val="lt-LT"/>
        </w:rPr>
        <w:t>Ypač svarbios yra 11 ir 12 t</w:t>
      </w:r>
      <w:r w:rsidR="00AA73E8" w:rsidRPr="009B441D">
        <w:rPr>
          <w:lang w:val="lt-LT"/>
        </w:rPr>
        <w:t>emos</w:t>
      </w:r>
      <w:r w:rsidR="009E059F" w:rsidRPr="009B441D">
        <w:rPr>
          <w:lang w:val="lt-LT"/>
        </w:rPr>
        <w:t xml:space="preserve"> apie darbą ir atlyginimą, nes</w:t>
      </w:r>
      <w:r w:rsidR="00CA5BB8">
        <w:rPr>
          <w:lang w:val="lt-LT"/>
        </w:rPr>
        <w:t>,</w:t>
      </w:r>
      <w:r w:rsidR="009E059F" w:rsidRPr="009B441D">
        <w:rPr>
          <w:lang w:val="lt-LT"/>
        </w:rPr>
        <w:t xml:space="preserve"> nepaisant kuo užsiims moksleivis baigęs mokyklą, </w:t>
      </w:r>
      <w:r w:rsidR="00EE501C">
        <w:rPr>
          <w:lang w:val="lt-LT"/>
        </w:rPr>
        <w:t xml:space="preserve">vienaip ar kitaip </w:t>
      </w:r>
      <w:r w:rsidR="009E059F" w:rsidRPr="009B441D">
        <w:rPr>
          <w:lang w:val="lt-LT"/>
        </w:rPr>
        <w:t>dalyvaus darbo rinkoj</w:t>
      </w:r>
      <w:r w:rsidR="00EE501C">
        <w:rPr>
          <w:lang w:val="lt-LT"/>
        </w:rPr>
        <w:t>e</w:t>
      </w:r>
      <w:r w:rsidR="009E059F" w:rsidRPr="009B441D">
        <w:rPr>
          <w:lang w:val="lt-LT"/>
        </w:rPr>
        <w:t>. Papildoma medžiaga bei diskusijos</w:t>
      </w:r>
      <w:r w:rsidR="00AA73E8" w:rsidRPr="009B441D">
        <w:rPr>
          <w:lang w:val="lt-LT"/>
        </w:rPr>
        <w:t xml:space="preserve"> apie</w:t>
      </w:r>
      <w:r w:rsidR="009E059F" w:rsidRPr="009B441D">
        <w:rPr>
          <w:lang w:val="lt-LT"/>
        </w:rPr>
        <w:t xml:space="preserve"> darbo rinkos dalyvių</w:t>
      </w:r>
      <w:r w:rsidR="00AA73E8" w:rsidRPr="009B441D">
        <w:rPr>
          <w:lang w:val="lt-LT"/>
        </w:rPr>
        <w:t xml:space="preserve"> derybinę galią, darbo rinkos reguliavimo detalės (</w:t>
      </w:r>
      <w:r w:rsidR="001F4AD0">
        <w:rPr>
          <w:lang w:val="lt-LT"/>
        </w:rPr>
        <w:t xml:space="preserve">ne tik MMA, bet ir </w:t>
      </w:r>
      <w:r w:rsidR="00AA73E8" w:rsidRPr="009B441D">
        <w:rPr>
          <w:lang w:val="lt-LT"/>
        </w:rPr>
        <w:t>nedarbo išmokos, aktyvios darbo rinkos priemonės, profsąjungų ir darbo tarybų vaidmuo, t.t.) labai išplėstų moksleivių suvokimą apie verslo ir valstybės sąveiką vienoje svarbiausių, darbo, rinkų.</w:t>
      </w:r>
    </w:p>
    <w:p w14:paraId="0A771F0A" w14:textId="77777777" w:rsidR="00AD045A" w:rsidRPr="009B441D" w:rsidRDefault="00AD045A" w:rsidP="007D3C2E">
      <w:pPr>
        <w:jc w:val="both"/>
        <w:rPr>
          <w:lang w:val="lt-LT"/>
        </w:rPr>
      </w:pPr>
    </w:p>
    <w:p w14:paraId="7B9B924B" w14:textId="28BB0224" w:rsidR="009B441D" w:rsidRPr="009B441D" w:rsidRDefault="009B441D" w:rsidP="007D3C2E">
      <w:pPr>
        <w:jc w:val="both"/>
        <w:rPr>
          <w:lang w:val="lt-LT"/>
        </w:rPr>
      </w:pPr>
      <w:r w:rsidRPr="009B441D">
        <w:rPr>
          <w:lang w:val="lt-LT"/>
        </w:rPr>
        <w:t xml:space="preserve">Autoriai </w:t>
      </w:r>
      <w:r>
        <w:rPr>
          <w:lang w:val="lt-LT"/>
        </w:rPr>
        <w:t xml:space="preserve">apžvelgia daug svarbių temų per </w:t>
      </w:r>
      <w:r>
        <w:rPr>
          <w:lang w:val="en-US"/>
        </w:rPr>
        <w:t>31</w:t>
      </w:r>
      <w:r>
        <w:rPr>
          <w:lang w:val="lt-LT"/>
        </w:rPr>
        <w:t xml:space="preserve"> pamoką (valandą). Retai devintokų ir dešimtokų vadovėliuose galima rasti diskusijas apie globalizaciją, prekybos teorijas, protekcionizmą, </w:t>
      </w:r>
      <w:r w:rsidR="002C5DC2">
        <w:rPr>
          <w:lang w:val="lt-LT"/>
        </w:rPr>
        <w:t>o tai svarbios temos bandant suprasti kaip funkcionuoja atvirosios ekonomikos tokia kaip Lietuva</w:t>
      </w:r>
      <w:r w:rsidR="002710E4">
        <w:rPr>
          <w:lang w:val="lt-LT"/>
        </w:rPr>
        <w:t>. Remiantis vadovėlio bazinėmis žiniomis,</w:t>
      </w:r>
      <w:r w:rsidR="002C5DC2">
        <w:rPr>
          <w:lang w:val="lt-LT"/>
        </w:rPr>
        <w:t xml:space="preserve"> </w:t>
      </w:r>
      <w:r w:rsidR="002710E4">
        <w:rPr>
          <w:lang w:val="lt-LT"/>
        </w:rPr>
        <w:t>mokytojai gali</w:t>
      </w:r>
      <w:r w:rsidR="002C5DC2">
        <w:rPr>
          <w:lang w:val="lt-LT"/>
        </w:rPr>
        <w:t xml:space="preserve"> paskatinti moksleivius </w:t>
      </w:r>
      <w:r w:rsidR="002710E4">
        <w:rPr>
          <w:lang w:val="lt-LT"/>
        </w:rPr>
        <w:t xml:space="preserve">giliau domėtis </w:t>
      </w:r>
      <w:r w:rsidR="002710E4">
        <w:rPr>
          <w:lang w:val="lt-LT"/>
        </w:rPr>
        <w:lastRenderedPageBreak/>
        <w:t xml:space="preserve">bei </w:t>
      </w:r>
      <w:r w:rsidR="002C5DC2">
        <w:rPr>
          <w:lang w:val="lt-LT"/>
        </w:rPr>
        <w:t>diskutuoti</w:t>
      </w:r>
      <w:r>
        <w:rPr>
          <w:lang w:val="lt-LT"/>
        </w:rPr>
        <w:t xml:space="preserve"> apie</w:t>
      </w:r>
      <w:r w:rsidR="009005A7">
        <w:rPr>
          <w:lang w:val="lt-LT"/>
        </w:rPr>
        <w:t xml:space="preserve"> tokias svarbias ir aktualias temas kaip</w:t>
      </w:r>
      <w:r>
        <w:rPr>
          <w:lang w:val="lt-LT"/>
        </w:rPr>
        <w:t xml:space="preserve"> prekybos kar</w:t>
      </w:r>
      <w:r w:rsidR="009005A7">
        <w:rPr>
          <w:lang w:val="lt-LT"/>
        </w:rPr>
        <w:t>ai</w:t>
      </w:r>
      <w:r>
        <w:rPr>
          <w:lang w:val="lt-LT"/>
        </w:rPr>
        <w:t>, sankcij</w:t>
      </w:r>
      <w:r w:rsidR="009005A7">
        <w:rPr>
          <w:lang w:val="lt-LT"/>
        </w:rPr>
        <w:t>o</w:t>
      </w:r>
      <w:r>
        <w:rPr>
          <w:lang w:val="lt-LT"/>
        </w:rPr>
        <w:t xml:space="preserve">s </w:t>
      </w:r>
      <w:r w:rsidR="002C5DC2">
        <w:rPr>
          <w:lang w:val="lt-LT"/>
        </w:rPr>
        <w:t>a</w:t>
      </w:r>
      <w:r>
        <w:rPr>
          <w:lang w:val="lt-LT"/>
        </w:rPr>
        <w:t>r pasaulinės ekonomikos fragmentacij</w:t>
      </w:r>
      <w:r w:rsidR="009005A7">
        <w:rPr>
          <w:lang w:val="lt-LT"/>
        </w:rPr>
        <w:t>a</w:t>
      </w:r>
      <w:r>
        <w:rPr>
          <w:lang w:val="lt-LT"/>
        </w:rPr>
        <w:t xml:space="preserve">. </w:t>
      </w:r>
      <w:r w:rsidR="002C5DC2">
        <w:rPr>
          <w:lang w:val="lt-LT"/>
        </w:rPr>
        <w:t xml:space="preserve">Suprantama, kad ribotame temų sąraše neįmanoma aptarti visų svarbių ekonominių idėjų – šio vadovėlio mokytojus </w:t>
      </w:r>
      <w:r w:rsidR="007B4A80">
        <w:rPr>
          <w:lang w:val="lt-LT"/>
        </w:rPr>
        <w:t>kviesčiau</w:t>
      </w:r>
      <w:r w:rsidR="002C5DC2">
        <w:rPr>
          <w:lang w:val="lt-LT"/>
        </w:rPr>
        <w:t xml:space="preserve"> </w:t>
      </w:r>
      <w:r w:rsidR="007B4A80">
        <w:rPr>
          <w:lang w:val="lt-LT"/>
        </w:rPr>
        <w:t>praplėsti</w:t>
      </w:r>
      <w:r w:rsidR="002C5DC2">
        <w:rPr>
          <w:lang w:val="lt-LT"/>
        </w:rPr>
        <w:t xml:space="preserve"> esam</w:t>
      </w:r>
      <w:r w:rsidR="007B4A80">
        <w:rPr>
          <w:lang w:val="lt-LT"/>
        </w:rPr>
        <w:t>as</w:t>
      </w:r>
      <w:r w:rsidR="002C5DC2">
        <w:rPr>
          <w:lang w:val="lt-LT"/>
        </w:rPr>
        <w:t xml:space="preserve"> tem</w:t>
      </w:r>
      <w:r w:rsidR="007B4A80">
        <w:rPr>
          <w:lang w:val="lt-LT"/>
        </w:rPr>
        <w:t>as ir</w:t>
      </w:r>
      <w:r w:rsidR="002C5DC2">
        <w:rPr>
          <w:lang w:val="lt-LT"/>
        </w:rPr>
        <w:t xml:space="preserve"> paskatinti moksleivius aptarti </w:t>
      </w:r>
      <w:r w:rsidR="007B4A80">
        <w:rPr>
          <w:lang w:val="lt-LT"/>
        </w:rPr>
        <w:t>mažiau</w:t>
      </w:r>
      <w:r w:rsidR="002C5DC2">
        <w:rPr>
          <w:lang w:val="lt-LT"/>
        </w:rPr>
        <w:t xml:space="preserve"> </w:t>
      </w:r>
      <w:r w:rsidR="007B4A80">
        <w:rPr>
          <w:lang w:val="lt-LT"/>
        </w:rPr>
        <w:t>aprašytas</w:t>
      </w:r>
      <w:r w:rsidR="002C5DC2">
        <w:rPr>
          <w:lang w:val="lt-LT"/>
        </w:rPr>
        <w:t>,</w:t>
      </w:r>
      <w:r w:rsidR="007B4A80">
        <w:rPr>
          <w:lang w:val="lt-LT"/>
        </w:rPr>
        <w:t xml:space="preserve"> bet labai aktualias,</w:t>
      </w:r>
      <w:r w:rsidR="002C5DC2">
        <w:rPr>
          <w:lang w:val="lt-LT"/>
        </w:rPr>
        <w:t xml:space="preserve"> temas, pvz., dirbtinio intelekto ir darbo sąveikas, prie stabilizacinių priemonių aptarti ilgojo laikotarpio (augimo ir vystymosi) politikas, klimato kaitos ir globaliųjų viešųjų gėrybių</w:t>
      </w:r>
      <w:r w:rsidR="009359BA">
        <w:rPr>
          <w:lang w:val="lt-LT"/>
        </w:rPr>
        <w:t xml:space="preserve"> problematikas</w:t>
      </w:r>
      <w:r w:rsidR="00BA75A5">
        <w:rPr>
          <w:lang w:val="lt-LT"/>
        </w:rPr>
        <w:t>, t.t.</w:t>
      </w:r>
    </w:p>
    <w:p w14:paraId="6A9E1618" w14:textId="77777777" w:rsidR="00E67B14" w:rsidRPr="009B441D" w:rsidRDefault="00E67B14" w:rsidP="007D3C2E">
      <w:pPr>
        <w:jc w:val="both"/>
        <w:rPr>
          <w:lang w:val="lt-LT"/>
        </w:rPr>
      </w:pPr>
    </w:p>
    <w:p w14:paraId="2B32F653" w14:textId="5047660C" w:rsidR="006777F6" w:rsidRDefault="008B5217" w:rsidP="007D3C2E">
      <w:pPr>
        <w:jc w:val="both"/>
        <w:rPr>
          <w:lang w:val="lt-LT"/>
        </w:rPr>
      </w:pPr>
      <w:r>
        <w:rPr>
          <w:lang w:val="lt-LT"/>
        </w:rPr>
        <w:t xml:space="preserve">Šis vadovėlis dėl </w:t>
      </w:r>
      <w:r w:rsidR="00667BF6">
        <w:rPr>
          <w:lang w:val="lt-LT"/>
        </w:rPr>
        <w:t xml:space="preserve">skaitytojui draugiško stiliaus ir kitų </w:t>
      </w:r>
      <w:r>
        <w:rPr>
          <w:lang w:val="lt-LT"/>
        </w:rPr>
        <w:t xml:space="preserve">aptartų privalumų gali būti naudojamas ne tik kaip pagrindinis skaitinys klasėje, bet </w:t>
      </w:r>
      <w:r w:rsidR="00503F0E">
        <w:rPr>
          <w:lang w:val="lt-LT"/>
        </w:rPr>
        <w:t xml:space="preserve">jis </w:t>
      </w:r>
      <w:r w:rsidR="00AC74F1">
        <w:rPr>
          <w:lang w:val="lt-LT"/>
        </w:rPr>
        <w:t>pasitarnaus</w:t>
      </w:r>
      <w:r>
        <w:rPr>
          <w:lang w:val="lt-LT"/>
        </w:rPr>
        <w:t xml:space="preserve"> saviugdai ar kaip papildoma mokymosi priemonė, papildanti studijų procesą.</w:t>
      </w:r>
      <w:r w:rsidR="007430A8">
        <w:rPr>
          <w:lang w:val="lt-LT"/>
        </w:rPr>
        <w:t xml:space="preserve"> Prie </w:t>
      </w:r>
      <w:r w:rsidR="00AC74F1">
        <w:rPr>
          <w:lang w:val="lt-LT"/>
        </w:rPr>
        <w:t>recenzijos</w:t>
      </w:r>
      <w:r w:rsidR="007430A8">
        <w:rPr>
          <w:lang w:val="lt-LT"/>
        </w:rPr>
        <w:t xml:space="preserve"> taip pat pridedu priedą, kuriame detaliau aptariu keletą taisytinų vadovėlio aspektų.</w:t>
      </w:r>
      <w:r w:rsidR="00B12EDC">
        <w:rPr>
          <w:rStyle w:val="FootnoteReference"/>
          <w:lang w:val="lt-LT"/>
        </w:rPr>
        <w:footnoteReference w:id="3"/>
      </w:r>
    </w:p>
    <w:p w14:paraId="335DE607" w14:textId="77777777" w:rsidR="00C92290" w:rsidRDefault="00C92290" w:rsidP="007D3C2E">
      <w:pPr>
        <w:jc w:val="both"/>
        <w:rPr>
          <w:lang w:val="lt-LT"/>
        </w:rPr>
      </w:pPr>
    </w:p>
    <w:p w14:paraId="419CDC39" w14:textId="098DE3A3" w:rsidR="00C92290" w:rsidRDefault="00C92290" w:rsidP="007D3C2E">
      <w:pPr>
        <w:jc w:val="both"/>
        <w:rPr>
          <w:lang w:val="lt-LT"/>
        </w:rPr>
      </w:pPr>
      <w:proofErr w:type="spellStart"/>
      <w:r>
        <w:rPr>
          <w:lang w:val="lt-LT"/>
        </w:rPr>
        <w:t>Dr</w:t>
      </w:r>
      <w:proofErr w:type="spellEnd"/>
      <w:r>
        <w:rPr>
          <w:lang w:val="lt-LT"/>
        </w:rPr>
        <w:t xml:space="preserve"> Povilas Lastauskas</w:t>
      </w:r>
    </w:p>
    <w:p w14:paraId="1A451D40" w14:textId="1039517F" w:rsidR="00C92290" w:rsidRDefault="00C92290" w:rsidP="007D3C2E">
      <w:pPr>
        <w:jc w:val="both"/>
        <w:rPr>
          <w:lang w:val="lt-LT"/>
        </w:rPr>
      </w:pPr>
      <w:proofErr w:type="spellStart"/>
      <w:r>
        <w:rPr>
          <w:lang w:val="lt-LT"/>
        </w:rPr>
        <w:t>Queen</w:t>
      </w:r>
      <w:proofErr w:type="spellEnd"/>
      <w:r>
        <w:rPr>
          <w:lang w:val="lt-LT"/>
        </w:rPr>
        <w:t xml:space="preserve"> Mary University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London</w:t>
      </w:r>
      <w:proofErr w:type="spellEnd"/>
    </w:p>
    <w:p w14:paraId="28CD7A1D" w14:textId="6FDF9263" w:rsidR="00C92290" w:rsidRDefault="00C92290" w:rsidP="007D3C2E">
      <w:pPr>
        <w:jc w:val="both"/>
        <w:rPr>
          <w:lang w:val="lt-LT"/>
        </w:rPr>
      </w:pPr>
      <w:proofErr w:type="spellStart"/>
      <w:r>
        <w:rPr>
          <w:lang w:val="lt-LT"/>
        </w:rPr>
        <w:t>Homerton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College</w:t>
      </w:r>
      <w:proofErr w:type="spellEnd"/>
      <w:r>
        <w:rPr>
          <w:lang w:val="lt-LT"/>
        </w:rPr>
        <w:t xml:space="preserve">, University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Cambridge</w:t>
      </w:r>
      <w:proofErr w:type="spellEnd"/>
    </w:p>
    <w:p w14:paraId="67285BE2" w14:textId="77777777" w:rsidR="00C92290" w:rsidRDefault="00C92290" w:rsidP="007D3C2E">
      <w:pPr>
        <w:jc w:val="both"/>
        <w:rPr>
          <w:lang w:val="lt-LT"/>
        </w:rPr>
      </w:pPr>
    </w:p>
    <w:p w14:paraId="1CF7B1C6" w14:textId="6CAEE93F" w:rsidR="00C92290" w:rsidRPr="00D83E79" w:rsidRDefault="00C92290" w:rsidP="007D3C2E">
      <w:pPr>
        <w:jc w:val="both"/>
        <w:rPr>
          <w:b/>
          <w:bCs/>
          <w:lang w:val="lt-LT"/>
        </w:rPr>
      </w:pPr>
      <w:r w:rsidRPr="00D83E79">
        <w:rPr>
          <w:b/>
          <w:bCs/>
          <w:lang w:val="lt-LT"/>
        </w:rPr>
        <w:t>PRIEDAS</w:t>
      </w:r>
    </w:p>
    <w:p w14:paraId="152F03EA" w14:textId="47B5F555" w:rsidR="00D83E79" w:rsidRPr="00D83E79" w:rsidRDefault="00D83E79" w:rsidP="007D3C2E">
      <w:pPr>
        <w:jc w:val="both"/>
        <w:rPr>
          <w:b/>
          <w:bCs/>
          <w:lang w:val="lt-LT"/>
        </w:rPr>
      </w:pPr>
      <w:r w:rsidRPr="00D83E79">
        <w:rPr>
          <w:b/>
          <w:bCs/>
          <w:lang w:val="lt-LT"/>
        </w:rPr>
        <w:t>I: „</w:t>
      </w:r>
      <w:proofErr w:type="spellStart"/>
      <w:r w:rsidRPr="00D83E79">
        <w:rPr>
          <w:b/>
          <w:bCs/>
          <w:lang w:val="lt-LT"/>
        </w:rPr>
        <w:t>Opportunity</w:t>
      </w:r>
      <w:proofErr w:type="spellEnd"/>
      <w:r w:rsidRPr="00D83E79">
        <w:rPr>
          <w:b/>
          <w:bCs/>
          <w:lang w:val="lt-LT"/>
        </w:rPr>
        <w:t xml:space="preserve"> </w:t>
      </w:r>
      <w:proofErr w:type="spellStart"/>
      <w:r w:rsidRPr="00D83E79">
        <w:rPr>
          <w:b/>
          <w:bCs/>
          <w:lang w:val="lt-LT"/>
        </w:rPr>
        <w:t>costs</w:t>
      </w:r>
      <w:proofErr w:type="spellEnd"/>
      <w:r w:rsidRPr="00D83E79">
        <w:rPr>
          <w:b/>
          <w:bCs/>
          <w:lang w:val="lt-LT"/>
        </w:rPr>
        <w:t>“ vartojimas</w:t>
      </w:r>
    </w:p>
    <w:p w14:paraId="43E8C5D9" w14:textId="32102535" w:rsidR="006777F6" w:rsidRDefault="00D83E79" w:rsidP="007D3C2E">
      <w:pPr>
        <w:pStyle w:val="NormalWeb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Autoriai rašo: </w:t>
      </w:r>
      <w:r w:rsidR="006777F6" w:rsidRPr="00C92290">
        <w:rPr>
          <w:rFonts w:asciiTheme="minorHAnsi" w:hAnsiTheme="minorHAnsi" w:cstheme="minorHAnsi"/>
          <w:lang w:val="lt-LT"/>
        </w:rPr>
        <w:t>„</w:t>
      </w:r>
      <w:proofErr w:type="spellStart"/>
      <w:r w:rsidR="006777F6" w:rsidRPr="00C92290">
        <w:rPr>
          <w:rFonts w:asciiTheme="minorHAnsi" w:hAnsiTheme="minorHAnsi" w:cstheme="minorHAnsi"/>
          <w:lang w:val="lt-LT"/>
        </w:rPr>
        <w:t>Žmonės</w:t>
      </w:r>
      <w:proofErr w:type="spellEnd"/>
      <w:r w:rsidR="006777F6" w:rsidRPr="00C92290">
        <w:rPr>
          <w:rFonts w:asciiTheme="minorHAnsi" w:hAnsiTheme="minorHAnsi" w:cstheme="minorHAnsi"/>
          <w:lang w:val="lt-LT"/>
        </w:rPr>
        <w:t xml:space="preserve"> rinkdamiesi </w:t>
      </w:r>
      <w:proofErr w:type="spellStart"/>
      <w:r w:rsidR="006777F6" w:rsidRPr="00C92290">
        <w:rPr>
          <w:rFonts w:asciiTheme="minorHAnsi" w:hAnsiTheme="minorHAnsi" w:cstheme="minorHAnsi"/>
          <w:lang w:val="lt-LT"/>
        </w:rPr>
        <w:t>įvertina</w:t>
      </w:r>
      <w:proofErr w:type="spellEnd"/>
      <w:r w:rsidR="006777F6" w:rsidRPr="00C92290">
        <w:rPr>
          <w:rFonts w:asciiTheme="minorHAnsi" w:hAnsiTheme="minorHAnsi" w:cstheme="minorHAnsi"/>
          <w:lang w:val="lt-LT"/>
        </w:rPr>
        <w:t xml:space="preserve"> naudą bei </w:t>
      </w:r>
      <w:proofErr w:type="spellStart"/>
      <w:r w:rsidR="006777F6" w:rsidRPr="00C92290">
        <w:rPr>
          <w:rFonts w:asciiTheme="minorHAnsi" w:hAnsiTheme="minorHAnsi" w:cstheme="minorHAnsi"/>
          <w:lang w:val="lt-LT"/>
        </w:rPr>
        <w:t>sąnaudas</w:t>
      </w:r>
      <w:proofErr w:type="spellEnd"/>
      <w:r w:rsidR="006777F6" w:rsidRPr="00C92290">
        <w:rPr>
          <w:rFonts w:asciiTheme="minorHAnsi" w:hAnsiTheme="minorHAnsi" w:cstheme="minorHAnsi"/>
          <w:lang w:val="lt-LT"/>
        </w:rPr>
        <w:t xml:space="preserve"> ir tikisi savo poreikius patenkinti </w:t>
      </w:r>
      <w:proofErr w:type="spellStart"/>
      <w:r w:rsidR="006777F6" w:rsidRPr="00C92290">
        <w:rPr>
          <w:rFonts w:asciiTheme="minorHAnsi" w:hAnsiTheme="minorHAnsi" w:cstheme="minorHAnsi"/>
          <w:lang w:val="lt-LT"/>
        </w:rPr>
        <w:t>mažiausia</w:t>
      </w:r>
      <w:proofErr w:type="spellEnd"/>
      <w:r w:rsidR="006777F6" w:rsidRPr="00C92290">
        <w:rPr>
          <w:rFonts w:asciiTheme="minorHAnsi" w:hAnsiTheme="minorHAnsi" w:cstheme="minorHAnsi"/>
          <w:lang w:val="lt-LT"/>
        </w:rPr>
        <w:t xml:space="preserve"> kaina.“ Lietuviškas žodis „sąnaudos“ netinka vartoti angliško „</w:t>
      </w:r>
      <w:proofErr w:type="spellStart"/>
      <w:r w:rsidR="006777F6" w:rsidRPr="00C92290">
        <w:rPr>
          <w:rFonts w:asciiTheme="minorHAnsi" w:hAnsiTheme="minorHAnsi" w:cstheme="minorHAnsi"/>
          <w:lang w:val="lt-LT"/>
        </w:rPr>
        <w:t>costs</w:t>
      </w:r>
      <w:proofErr w:type="spellEnd"/>
      <w:r w:rsidR="006777F6" w:rsidRPr="00C92290">
        <w:rPr>
          <w:rFonts w:asciiTheme="minorHAnsi" w:hAnsiTheme="minorHAnsi" w:cstheme="minorHAnsi"/>
          <w:lang w:val="lt-LT"/>
        </w:rPr>
        <w:t xml:space="preserve">“ prasmei perteikti, nes implikuoja patirtas išlaidas ir sunaudotus išteklius (žr. R. Vainienės „Ekonomikos terminų žodyną“, kur sąnaudos apibrėžtos kaip „prekių gamybos, paslaugų teikimo metu </w:t>
      </w:r>
      <w:r w:rsidR="006777F6" w:rsidRPr="00D83E79">
        <w:rPr>
          <w:rFonts w:asciiTheme="minorHAnsi" w:hAnsiTheme="minorHAnsi" w:cstheme="minorHAnsi"/>
          <w:i/>
          <w:iCs/>
          <w:lang w:val="lt-LT"/>
        </w:rPr>
        <w:t>sunaudotų</w:t>
      </w:r>
      <w:r w:rsidR="006777F6" w:rsidRPr="00C92290">
        <w:rPr>
          <w:rFonts w:asciiTheme="minorHAnsi" w:hAnsiTheme="minorHAnsi" w:cstheme="minorHAnsi"/>
          <w:lang w:val="lt-LT"/>
        </w:rPr>
        <w:t xml:space="preserve"> ekonominių išteklių vertinė išraiška“).  Toks apibrėžimas </w:t>
      </w:r>
      <w:r w:rsidR="006777F6" w:rsidRPr="00D83E79">
        <w:rPr>
          <w:rFonts w:asciiTheme="minorHAnsi" w:hAnsiTheme="minorHAnsi" w:cstheme="minorHAnsi"/>
          <w:i/>
          <w:iCs/>
          <w:lang w:val="lt-LT"/>
        </w:rPr>
        <w:t xml:space="preserve">iš principo </w:t>
      </w:r>
      <w:r w:rsidRPr="00D83E79">
        <w:rPr>
          <w:rFonts w:asciiTheme="minorHAnsi" w:hAnsiTheme="minorHAnsi" w:cstheme="minorHAnsi"/>
          <w:i/>
          <w:iCs/>
          <w:lang w:val="lt-LT"/>
        </w:rPr>
        <w:t>prieštarauja</w:t>
      </w:r>
      <w:r w:rsidR="006777F6" w:rsidRPr="00C92290">
        <w:rPr>
          <w:rFonts w:asciiTheme="minorHAnsi" w:hAnsiTheme="minorHAnsi" w:cstheme="minorHAnsi"/>
          <w:lang w:val="lt-LT"/>
        </w:rPr>
        <w:t xml:space="preserve"> </w:t>
      </w:r>
      <w:r>
        <w:rPr>
          <w:rFonts w:asciiTheme="minorHAnsi" w:hAnsiTheme="minorHAnsi" w:cstheme="minorHAnsi"/>
          <w:lang w:val="lt-LT"/>
        </w:rPr>
        <w:t>ekonominei logikai ir sąvokos „</w:t>
      </w:r>
      <w:proofErr w:type="spellStart"/>
      <w:r>
        <w:rPr>
          <w:rFonts w:asciiTheme="minorHAnsi" w:hAnsiTheme="minorHAnsi" w:cstheme="minorHAnsi"/>
          <w:lang w:val="lt-LT"/>
        </w:rPr>
        <w:t>opportunity</w:t>
      </w:r>
      <w:proofErr w:type="spellEnd"/>
      <w:r>
        <w:rPr>
          <w:rFonts w:asciiTheme="minorHAnsi" w:hAnsiTheme="minorHAnsi" w:cstheme="minorHAnsi"/>
          <w:lang w:val="lt-LT"/>
        </w:rPr>
        <w:t xml:space="preserve"> </w:t>
      </w:r>
      <w:proofErr w:type="spellStart"/>
      <w:r>
        <w:rPr>
          <w:rFonts w:asciiTheme="minorHAnsi" w:hAnsiTheme="minorHAnsi" w:cstheme="minorHAnsi"/>
          <w:lang w:val="lt-LT"/>
        </w:rPr>
        <w:t>costs</w:t>
      </w:r>
      <w:proofErr w:type="spellEnd"/>
      <w:r>
        <w:rPr>
          <w:rFonts w:asciiTheme="minorHAnsi" w:hAnsiTheme="minorHAnsi" w:cstheme="minorHAnsi"/>
          <w:lang w:val="lt-LT"/>
        </w:rPr>
        <w:t>“ idėjai</w:t>
      </w:r>
      <w:r w:rsidR="006777F6" w:rsidRPr="00C92290">
        <w:rPr>
          <w:rFonts w:asciiTheme="minorHAnsi" w:hAnsiTheme="minorHAnsi" w:cstheme="minorHAnsi"/>
          <w:lang w:val="lt-LT"/>
        </w:rPr>
        <w:t xml:space="preserve"> – žmonės vertina ne tai, ką sunaudojo</w:t>
      </w:r>
      <w:r w:rsidR="00FC28CD" w:rsidRPr="00C92290">
        <w:rPr>
          <w:rFonts w:asciiTheme="minorHAnsi" w:hAnsiTheme="minorHAnsi" w:cstheme="minorHAnsi"/>
          <w:lang w:val="lt-LT"/>
        </w:rPr>
        <w:t xml:space="preserve"> (kaip implikuoja lietuviškas vertinys)</w:t>
      </w:r>
      <w:r w:rsidR="006777F6" w:rsidRPr="00C92290">
        <w:rPr>
          <w:rFonts w:asciiTheme="minorHAnsi" w:hAnsiTheme="minorHAnsi" w:cstheme="minorHAnsi"/>
          <w:lang w:val="lt-LT"/>
        </w:rPr>
        <w:t xml:space="preserve">, o ką </w:t>
      </w:r>
      <w:r w:rsidR="00BC0C72" w:rsidRPr="00C92290">
        <w:rPr>
          <w:rFonts w:asciiTheme="minorHAnsi" w:hAnsiTheme="minorHAnsi" w:cstheme="minorHAnsi"/>
          <w:lang w:val="lt-LT"/>
        </w:rPr>
        <w:t xml:space="preserve">linkę paaukoti, darydami pasirinkimus </w:t>
      </w:r>
      <w:r w:rsidR="006777F6" w:rsidRPr="00C92290">
        <w:rPr>
          <w:rFonts w:asciiTheme="minorHAnsi" w:hAnsiTheme="minorHAnsi" w:cstheme="minorHAnsi"/>
          <w:lang w:val="lt-LT"/>
        </w:rPr>
        <w:t>(</w:t>
      </w:r>
      <w:r w:rsidR="00BC0C72" w:rsidRPr="00C92290">
        <w:rPr>
          <w:rFonts w:asciiTheme="minorHAnsi" w:hAnsiTheme="minorHAnsi" w:cstheme="minorHAnsi"/>
          <w:lang w:val="lt-LT"/>
        </w:rPr>
        <w:t>ang</w:t>
      </w:r>
      <w:r w:rsidR="008078E0" w:rsidRPr="00C92290">
        <w:rPr>
          <w:rFonts w:asciiTheme="minorHAnsi" w:hAnsiTheme="minorHAnsi" w:cstheme="minorHAnsi"/>
          <w:lang w:val="lt-LT"/>
        </w:rPr>
        <w:t>l</w:t>
      </w:r>
      <w:r w:rsidR="00BC0C72" w:rsidRPr="00C92290">
        <w:rPr>
          <w:rFonts w:asciiTheme="minorHAnsi" w:hAnsiTheme="minorHAnsi" w:cstheme="minorHAnsi"/>
          <w:lang w:val="lt-LT"/>
        </w:rPr>
        <w:t xml:space="preserve">. </w:t>
      </w:r>
      <w:proofErr w:type="spellStart"/>
      <w:r w:rsidR="006777F6" w:rsidRPr="00C92290">
        <w:rPr>
          <w:rFonts w:asciiTheme="minorHAnsi" w:hAnsiTheme="minorHAnsi" w:cstheme="minorHAnsi"/>
          <w:lang w:val="lt-LT"/>
        </w:rPr>
        <w:t>opportunity</w:t>
      </w:r>
      <w:proofErr w:type="spellEnd"/>
      <w:r w:rsidR="006777F6"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="006777F6" w:rsidRPr="00C92290">
        <w:rPr>
          <w:rFonts w:asciiTheme="minorHAnsi" w:hAnsiTheme="minorHAnsi" w:cstheme="minorHAnsi"/>
          <w:lang w:val="lt-LT"/>
        </w:rPr>
        <w:t>costs</w:t>
      </w:r>
      <w:proofErr w:type="spellEnd"/>
      <w:r w:rsidR="006777F6" w:rsidRPr="00C92290">
        <w:rPr>
          <w:rFonts w:asciiTheme="minorHAnsi" w:hAnsiTheme="minorHAnsi" w:cstheme="minorHAnsi"/>
          <w:lang w:val="lt-LT"/>
        </w:rPr>
        <w:t xml:space="preserve"> </w:t>
      </w:r>
      <w:r w:rsidR="006777F6" w:rsidRPr="00C92290">
        <w:rPr>
          <w:rFonts w:asciiTheme="minorHAnsi" w:hAnsiTheme="minorHAnsi" w:cstheme="minorHAnsi"/>
          <w:i/>
          <w:iCs/>
          <w:lang w:val="lt-LT"/>
        </w:rPr>
        <w:t>nėra</w:t>
      </w:r>
      <w:r w:rsidR="006777F6" w:rsidRPr="00C92290">
        <w:rPr>
          <w:rFonts w:asciiTheme="minorHAnsi" w:hAnsiTheme="minorHAnsi" w:cstheme="minorHAnsi"/>
          <w:lang w:val="lt-LT"/>
        </w:rPr>
        <w:t xml:space="preserve"> galimybių sąnaudos</w:t>
      </w:r>
      <w:r w:rsidR="00D13838" w:rsidRPr="00C92290">
        <w:rPr>
          <w:rFonts w:asciiTheme="minorHAnsi" w:hAnsiTheme="minorHAnsi" w:cstheme="minorHAnsi"/>
          <w:lang w:val="lt-LT"/>
        </w:rPr>
        <w:t xml:space="preserve"> (tai net nėra logiška, nes kalbama apie </w:t>
      </w:r>
      <w:r w:rsidR="00D13838" w:rsidRPr="00C92290">
        <w:rPr>
          <w:rFonts w:asciiTheme="minorHAnsi" w:hAnsiTheme="minorHAnsi" w:cstheme="minorHAnsi"/>
          <w:i/>
          <w:iCs/>
          <w:lang w:val="lt-LT"/>
        </w:rPr>
        <w:t>nerealizuotas</w:t>
      </w:r>
      <w:r w:rsidR="00D13838" w:rsidRPr="00C92290">
        <w:rPr>
          <w:rFonts w:asciiTheme="minorHAnsi" w:hAnsiTheme="minorHAnsi" w:cstheme="minorHAnsi"/>
          <w:lang w:val="lt-LT"/>
        </w:rPr>
        <w:t xml:space="preserve"> pasirinkimo alternatyvas</w:t>
      </w:r>
      <w:r w:rsidR="00FC28CD" w:rsidRPr="00C92290">
        <w:rPr>
          <w:rFonts w:asciiTheme="minorHAnsi" w:hAnsiTheme="minorHAnsi" w:cstheme="minorHAnsi"/>
          <w:lang w:val="lt-LT"/>
        </w:rPr>
        <w:t>, o ne tai, kas sunaudota ar panaudota</w:t>
      </w:r>
      <w:r w:rsidR="00D13838" w:rsidRPr="00C92290">
        <w:rPr>
          <w:rFonts w:asciiTheme="minorHAnsi" w:hAnsiTheme="minorHAnsi" w:cstheme="minorHAnsi"/>
          <w:lang w:val="lt-LT"/>
        </w:rPr>
        <w:t>)</w:t>
      </w:r>
      <w:r w:rsidR="00064C0F">
        <w:rPr>
          <w:rFonts w:asciiTheme="minorHAnsi" w:hAnsiTheme="minorHAnsi" w:cstheme="minorHAnsi"/>
          <w:lang w:val="lt-LT"/>
        </w:rPr>
        <w:t>)</w:t>
      </w:r>
      <w:r w:rsidR="00FC28CD" w:rsidRPr="00C92290">
        <w:rPr>
          <w:rFonts w:asciiTheme="minorHAnsi" w:hAnsiTheme="minorHAnsi" w:cstheme="minorHAnsi"/>
          <w:lang w:val="lt-LT"/>
        </w:rPr>
        <w:t>; tad</w:t>
      </w:r>
      <w:r>
        <w:rPr>
          <w:rFonts w:asciiTheme="minorHAnsi" w:hAnsiTheme="minorHAnsi" w:cstheme="minorHAnsi"/>
          <w:lang w:val="lt-LT"/>
        </w:rPr>
        <w:t xml:space="preserve"> nesant kito atitikmens, turėtų būti sakoma</w:t>
      </w:r>
      <w:r w:rsidR="006777F6" w:rsidRPr="00C92290">
        <w:rPr>
          <w:rFonts w:asciiTheme="minorHAnsi" w:hAnsiTheme="minorHAnsi" w:cstheme="minorHAnsi"/>
          <w:lang w:val="lt-LT"/>
        </w:rPr>
        <w:t xml:space="preserve"> galimybių</w:t>
      </w:r>
      <w:r w:rsidR="00FC28CD" w:rsidRPr="00C92290">
        <w:rPr>
          <w:rFonts w:asciiTheme="minorHAnsi" w:hAnsiTheme="minorHAnsi" w:cstheme="minorHAnsi"/>
          <w:lang w:val="lt-LT"/>
        </w:rPr>
        <w:t xml:space="preserve"> (ar alternatyvieji)</w:t>
      </w:r>
      <w:r w:rsidR="006777F6" w:rsidRPr="00C92290">
        <w:rPr>
          <w:rFonts w:asciiTheme="minorHAnsi" w:hAnsiTheme="minorHAnsi" w:cstheme="minorHAnsi"/>
          <w:lang w:val="lt-LT"/>
        </w:rPr>
        <w:t xml:space="preserve"> kaštai</w:t>
      </w:r>
      <w:r w:rsidR="001B4175" w:rsidRPr="00C92290">
        <w:rPr>
          <w:rFonts w:asciiTheme="minorHAnsi" w:hAnsiTheme="minorHAnsi" w:cstheme="minorHAnsi"/>
          <w:lang w:val="lt-LT"/>
        </w:rPr>
        <w:t xml:space="preserve"> (žr. 39 p.)</w:t>
      </w:r>
      <w:r>
        <w:rPr>
          <w:rFonts w:asciiTheme="minorHAnsi" w:hAnsiTheme="minorHAnsi" w:cstheme="minorHAnsi"/>
          <w:lang w:val="lt-LT"/>
        </w:rPr>
        <w:t xml:space="preserve">, nes negalima dėl nelietuviško žodžio </w:t>
      </w:r>
      <w:r w:rsidR="007B0D77">
        <w:rPr>
          <w:rFonts w:asciiTheme="minorHAnsi" w:hAnsiTheme="minorHAnsi" w:cstheme="minorHAnsi"/>
          <w:lang w:val="lt-LT"/>
        </w:rPr>
        <w:t>pamesti</w:t>
      </w:r>
      <w:r>
        <w:rPr>
          <w:rFonts w:asciiTheme="minorHAnsi" w:hAnsiTheme="minorHAnsi" w:cstheme="minorHAnsi"/>
          <w:lang w:val="lt-LT"/>
        </w:rPr>
        <w:t xml:space="preserve"> pačios </w:t>
      </w:r>
      <w:r w:rsidR="007B0D77">
        <w:rPr>
          <w:rFonts w:asciiTheme="minorHAnsi" w:hAnsiTheme="minorHAnsi" w:cstheme="minorHAnsi"/>
          <w:lang w:val="lt-LT"/>
        </w:rPr>
        <w:t xml:space="preserve">sąvokos </w:t>
      </w:r>
      <w:r>
        <w:rPr>
          <w:rFonts w:asciiTheme="minorHAnsi" w:hAnsiTheme="minorHAnsi" w:cstheme="minorHAnsi"/>
          <w:lang w:val="lt-LT"/>
        </w:rPr>
        <w:t>prasmės</w:t>
      </w:r>
      <w:r w:rsidR="00324E00">
        <w:rPr>
          <w:rFonts w:asciiTheme="minorHAnsi" w:hAnsiTheme="minorHAnsi" w:cstheme="minorHAnsi"/>
          <w:lang w:val="lt-LT"/>
        </w:rPr>
        <w:t>)</w:t>
      </w:r>
      <w:r w:rsidR="006777F6" w:rsidRPr="00C92290">
        <w:rPr>
          <w:rFonts w:asciiTheme="minorHAnsi" w:hAnsiTheme="minorHAnsi" w:cstheme="minorHAnsi"/>
          <w:lang w:val="lt-LT"/>
        </w:rPr>
        <w:t xml:space="preserve">. </w:t>
      </w:r>
    </w:p>
    <w:p w14:paraId="1FE81DA9" w14:textId="1F63316A" w:rsidR="00D83E79" w:rsidRPr="00D83E79" w:rsidRDefault="00D83E79" w:rsidP="007D3C2E">
      <w:pPr>
        <w:jc w:val="both"/>
        <w:rPr>
          <w:b/>
          <w:bCs/>
          <w:lang w:val="lt-LT"/>
        </w:rPr>
      </w:pPr>
      <w:r w:rsidRPr="00D83E79">
        <w:rPr>
          <w:b/>
          <w:bCs/>
          <w:lang w:val="lt-LT"/>
        </w:rPr>
        <w:t>II: Ekonomikos mokslo skirtys</w:t>
      </w:r>
    </w:p>
    <w:p w14:paraId="5FFB72E9" w14:textId="75A9E41C" w:rsidR="00D83E79" w:rsidRDefault="00D83E79" w:rsidP="007D3C2E">
      <w:pPr>
        <w:pStyle w:val="NormalWeb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Autoriai rašo: </w:t>
      </w:r>
      <w:r w:rsidR="004E33DD" w:rsidRPr="00C92290">
        <w:rPr>
          <w:rFonts w:asciiTheme="minorHAnsi" w:hAnsiTheme="minorHAnsi" w:cstheme="minorHAnsi"/>
          <w:lang w:val="lt-LT"/>
        </w:rPr>
        <w:t xml:space="preserve">„Ekonomikos </w:t>
      </w:r>
      <w:proofErr w:type="spellStart"/>
      <w:r w:rsidR="004E33DD" w:rsidRPr="00C92290">
        <w:rPr>
          <w:rFonts w:asciiTheme="minorHAnsi" w:hAnsiTheme="minorHAnsi" w:cstheme="minorHAnsi"/>
          <w:lang w:val="lt-LT"/>
        </w:rPr>
        <w:t>dėsniu</w:t>
      </w:r>
      <w:proofErr w:type="spellEnd"/>
      <w:r w:rsidR="004E33DD" w:rsidRPr="00C92290">
        <w:rPr>
          <w:rFonts w:asciiTheme="minorHAnsi" w:hAnsiTheme="minorHAnsi" w:cstheme="minorHAnsi"/>
          <w:lang w:val="lt-LT"/>
        </w:rPr>
        <w:t xml:space="preserve">̨ </w:t>
      </w:r>
      <w:proofErr w:type="spellStart"/>
      <w:r w:rsidR="004E33DD" w:rsidRPr="00C92290">
        <w:rPr>
          <w:rFonts w:asciiTheme="minorHAnsi" w:hAnsiTheme="minorHAnsi" w:cstheme="minorHAnsi"/>
          <w:lang w:val="lt-LT"/>
        </w:rPr>
        <w:t>neįmanoma</w:t>
      </w:r>
      <w:proofErr w:type="spellEnd"/>
      <w:r w:rsidR="004E33DD"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="004E33DD" w:rsidRPr="00C92290">
        <w:rPr>
          <w:rFonts w:asciiTheme="minorHAnsi" w:hAnsiTheme="minorHAnsi" w:cstheme="minorHAnsi"/>
          <w:lang w:val="lt-LT"/>
        </w:rPr>
        <w:t>paaiškinti</w:t>
      </w:r>
      <w:proofErr w:type="spellEnd"/>
      <w:r w:rsidR="004E33DD" w:rsidRPr="00C92290">
        <w:rPr>
          <w:rFonts w:asciiTheme="minorHAnsi" w:hAnsiTheme="minorHAnsi" w:cstheme="minorHAnsi"/>
          <w:lang w:val="lt-LT"/>
        </w:rPr>
        <w:t xml:space="preserve"> eksperimentu. Realaus pasaulio </w:t>
      </w:r>
      <w:proofErr w:type="spellStart"/>
      <w:r w:rsidR="004E33DD" w:rsidRPr="00C92290">
        <w:rPr>
          <w:rFonts w:asciiTheme="minorHAnsi" w:hAnsiTheme="minorHAnsi" w:cstheme="minorHAnsi"/>
          <w:lang w:val="lt-LT"/>
        </w:rPr>
        <w:t>sąlygu</w:t>
      </w:r>
      <w:proofErr w:type="spellEnd"/>
      <w:r w:rsidR="004E33DD" w:rsidRPr="00C92290">
        <w:rPr>
          <w:rFonts w:asciiTheme="minorHAnsi" w:hAnsiTheme="minorHAnsi" w:cstheme="minorHAnsi"/>
          <w:lang w:val="lt-LT"/>
        </w:rPr>
        <w:t xml:space="preserve">̨ </w:t>
      </w:r>
      <w:proofErr w:type="spellStart"/>
      <w:r w:rsidR="004E33DD" w:rsidRPr="00C92290">
        <w:rPr>
          <w:rFonts w:asciiTheme="minorHAnsi" w:hAnsiTheme="minorHAnsi" w:cstheme="minorHAnsi"/>
          <w:lang w:val="lt-LT"/>
        </w:rPr>
        <w:t>neįmanoma</w:t>
      </w:r>
      <w:proofErr w:type="spellEnd"/>
      <w:r w:rsidR="004E33DD" w:rsidRPr="00C92290">
        <w:rPr>
          <w:rFonts w:asciiTheme="minorHAnsi" w:hAnsiTheme="minorHAnsi" w:cstheme="minorHAnsi"/>
          <w:lang w:val="lt-LT"/>
        </w:rPr>
        <w:t xml:space="preserve"> atkurti laboratorijoje. </w:t>
      </w:r>
      <w:proofErr w:type="spellStart"/>
      <w:r w:rsidR="004E33DD" w:rsidRPr="00C92290">
        <w:rPr>
          <w:rFonts w:asciiTheme="minorHAnsi" w:hAnsiTheme="minorHAnsi" w:cstheme="minorHAnsi"/>
          <w:lang w:val="lt-LT"/>
        </w:rPr>
        <w:t>Žmonės</w:t>
      </w:r>
      <w:proofErr w:type="spellEnd"/>
      <w:r w:rsidR="004E33DD" w:rsidRPr="00C92290">
        <w:rPr>
          <w:rFonts w:asciiTheme="minorHAnsi" w:hAnsiTheme="minorHAnsi" w:cstheme="minorHAnsi"/>
          <w:lang w:val="lt-LT"/>
        </w:rPr>
        <w:t xml:space="preserve"> yra skirtingi, </w:t>
      </w:r>
      <w:proofErr w:type="spellStart"/>
      <w:r w:rsidR="004E33DD" w:rsidRPr="00C92290">
        <w:rPr>
          <w:rFonts w:asciiTheme="minorHAnsi" w:hAnsiTheme="minorHAnsi" w:cstheme="minorHAnsi"/>
          <w:lang w:val="lt-LT"/>
        </w:rPr>
        <w:t>mąstantys</w:t>
      </w:r>
      <w:proofErr w:type="spellEnd"/>
      <w:r w:rsidR="004E33DD" w:rsidRPr="00C92290">
        <w:rPr>
          <w:rFonts w:asciiTheme="minorHAnsi" w:hAnsiTheme="minorHAnsi" w:cstheme="minorHAnsi"/>
          <w:lang w:val="lt-LT"/>
        </w:rPr>
        <w:t xml:space="preserve"> ir </w:t>
      </w:r>
      <w:proofErr w:type="spellStart"/>
      <w:r w:rsidR="004E33DD" w:rsidRPr="00C92290">
        <w:rPr>
          <w:rFonts w:asciiTheme="minorHAnsi" w:hAnsiTheme="minorHAnsi" w:cstheme="minorHAnsi"/>
          <w:lang w:val="lt-LT"/>
        </w:rPr>
        <w:t>todėl</w:t>
      </w:r>
      <w:proofErr w:type="spellEnd"/>
      <w:r w:rsidR="004E33DD"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="004E33DD" w:rsidRPr="00C92290">
        <w:rPr>
          <w:rFonts w:asciiTheme="minorHAnsi" w:hAnsiTheme="minorHAnsi" w:cstheme="minorHAnsi"/>
          <w:lang w:val="lt-LT"/>
        </w:rPr>
        <w:t>ju</w:t>
      </w:r>
      <w:proofErr w:type="spellEnd"/>
      <w:r w:rsidR="004E33DD" w:rsidRPr="00C92290">
        <w:rPr>
          <w:rFonts w:asciiTheme="minorHAnsi" w:hAnsiTheme="minorHAnsi" w:cstheme="minorHAnsi"/>
          <w:lang w:val="lt-LT"/>
        </w:rPr>
        <w:t xml:space="preserve">̨ elgesys </w:t>
      </w:r>
      <w:proofErr w:type="spellStart"/>
      <w:r w:rsidR="004E33DD" w:rsidRPr="00C92290">
        <w:rPr>
          <w:rFonts w:asciiTheme="minorHAnsi" w:hAnsiTheme="minorHAnsi" w:cstheme="minorHAnsi"/>
          <w:lang w:val="lt-LT"/>
        </w:rPr>
        <w:t>nenuspėjamas</w:t>
      </w:r>
      <w:proofErr w:type="spellEnd"/>
      <w:r w:rsidR="004E33DD" w:rsidRPr="00C92290">
        <w:rPr>
          <w:rFonts w:asciiTheme="minorHAnsi" w:hAnsiTheme="minorHAnsi" w:cstheme="minorHAnsi"/>
          <w:lang w:val="lt-LT"/>
        </w:rPr>
        <w:t>.“ Šie teiginiai nėra</w:t>
      </w:r>
      <w:r w:rsidR="00066CAE">
        <w:rPr>
          <w:rFonts w:asciiTheme="minorHAnsi" w:hAnsiTheme="minorHAnsi" w:cstheme="minorHAnsi"/>
          <w:lang w:val="lt-LT"/>
        </w:rPr>
        <w:t xml:space="preserve"> visiškai</w:t>
      </w:r>
      <w:r w:rsidR="004E33DD" w:rsidRPr="00C92290">
        <w:rPr>
          <w:rFonts w:asciiTheme="minorHAnsi" w:hAnsiTheme="minorHAnsi" w:cstheme="minorHAnsi"/>
          <w:lang w:val="lt-LT"/>
        </w:rPr>
        <w:t xml:space="preserve"> </w:t>
      </w:r>
      <w:r>
        <w:rPr>
          <w:rFonts w:asciiTheme="minorHAnsi" w:hAnsiTheme="minorHAnsi" w:cstheme="minorHAnsi"/>
          <w:lang w:val="lt-LT"/>
        </w:rPr>
        <w:t>korektiški</w:t>
      </w:r>
      <w:r w:rsidR="004E33DD" w:rsidRPr="00C92290">
        <w:rPr>
          <w:rFonts w:asciiTheme="minorHAnsi" w:hAnsiTheme="minorHAnsi" w:cstheme="minorHAnsi"/>
          <w:lang w:val="lt-LT"/>
        </w:rPr>
        <w:t xml:space="preserve">. </w:t>
      </w:r>
    </w:p>
    <w:p w14:paraId="11F9A534" w14:textId="77777777" w:rsidR="00D83E79" w:rsidRDefault="004E33DD" w:rsidP="007D3C2E">
      <w:pPr>
        <w:pStyle w:val="NormalWeb"/>
        <w:jc w:val="both"/>
        <w:rPr>
          <w:rFonts w:asciiTheme="minorHAnsi" w:hAnsiTheme="minorHAnsi" w:cstheme="minorHAnsi"/>
          <w:lang w:val="lt-LT"/>
        </w:rPr>
      </w:pPr>
      <w:r w:rsidRPr="00C92290">
        <w:rPr>
          <w:rFonts w:asciiTheme="minorHAnsi" w:hAnsiTheme="minorHAnsi" w:cstheme="minorHAnsi"/>
          <w:lang w:val="lt-LT"/>
        </w:rPr>
        <w:t xml:space="preserve">Atskiros dalelės trajektorijos gali būti visiškai </w:t>
      </w:r>
      <w:r w:rsidR="00D83E79" w:rsidRPr="00C92290">
        <w:rPr>
          <w:rFonts w:asciiTheme="minorHAnsi" w:hAnsiTheme="minorHAnsi" w:cstheme="minorHAnsi"/>
          <w:lang w:val="lt-LT"/>
        </w:rPr>
        <w:t>atsitiktinės</w:t>
      </w:r>
      <w:r w:rsidRPr="00C92290">
        <w:rPr>
          <w:rFonts w:asciiTheme="minorHAnsi" w:hAnsiTheme="minorHAnsi" w:cstheme="minorHAnsi"/>
          <w:lang w:val="lt-LT"/>
        </w:rPr>
        <w:t xml:space="preserve"> (pvz., </w:t>
      </w:r>
      <w:proofErr w:type="spellStart"/>
      <w:r w:rsidRPr="00C92290">
        <w:rPr>
          <w:rFonts w:asciiTheme="minorHAnsi" w:hAnsiTheme="minorHAnsi" w:cstheme="minorHAnsi"/>
          <w:lang w:val="lt-LT"/>
        </w:rPr>
        <w:t>Brown‘o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judėjimas), bet </w:t>
      </w:r>
      <w:proofErr w:type="spellStart"/>
      <w:r w:rsidRPr="00C92290">
        <w:rPr>
          <w:rFonts w:asciiTheme="minorHAnsi" w:hAnsiTheme="minorHAnsi" w:cstheme="minorHAnsi"/>
          <w:lang w:val="lt-LT"/>
        </w:rPr>
        <w:t>makro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lygiu gali rastis sistemin</w:t>
      </w:r>
      <w:r w:rsidR="00664898" w:rsidRPr="00C92290">
        <w:rPr>
          <w:rFonts w:asciiTheme="minorHAnsi" w:hAnsiTheme="minorHAnsi" w:cstheme="minorHAnsi"/>
          <w:lang w:val="lt-LT"/>
        </w:rPr>
        <w:t>ė struktūra</w:t>
      </w:r>
      <w:r w:rsidRPr="00C92290">
        <w:rPr>
          <w:rFonts w:asciiTheme="minorHAnsi" w:hAnsiTheme="minorHAnsi" w:cstheme="minorHAnsi"/>
          <w:lang w:val="lt-LT"/>
        </w:rPr>
        <w:t>, taigi</w:t>
      </w:r>
      <w:r w:rsidR="00664898" w:rsidRPr="00C92290">
        <w:rPr>
          <w:rFonts w:asciiTheme="minorHAnsi" w:hAnsiTheme="minorHAnsi" w:cstheme="minorHAnsi"/>
          <w:lang w:val="lt-LT"/>
        </w:rPr>
        <w:t xml:space="preserve"> ir</w:t>
      </w:r>
      <w:r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C92290">
        <w:rPr>
          <w:rFonts w:asciiTheme="minorHAnsi" w:hAnsiTheme="minorHAnsi" w:cstheme="minorHAnsi"/>
          <w:lang w:val="lt-LT"/>
        </w:rPr>
        <w:t>prognozuojam</w:t>
      </w:r>
      <w:r w:rsidR="00664898" w:rsidRPr="00C92290">
        <w:rPr>
          <w:rFonts w:asciiTheme="minorHAnsi" w:hAnsiTheme="minorHAnsi" w:cstheme="minorHAnsi"/>
          <w:lang w:val="lt-LT"/>
        </w:rPr>
        <w:t>umas</w:t>
      </w:r>
      <w:proofErr w:type="spellEnd"/>
      <w:r w:rsidR="00664898" w:rsidRPr="00C92290">
        <w:rPr>
          <w:rFonts w:asciiTheme="minorHAnsi" w:hAnsiTheme="minorHAnsi" w:cstheme="minorHAnsi"/>
          <w:lang w:val="lt-LT"/>
        </w:rPr>
        <w:t xml:space="preserve">. Lygiai taip pat ir ekonomikoje – atskirų individų pasirinkimai gali būti nenuspėjami, bet žmonių grupių ar </w:t>
      </w:r>
      <w:proofErr w:type="spellStart"/>
      <w:r w:rsidR="00664898" w:rsidRPr="00C92290">
        <w:rPr>
          <w:rFonts w:asciiTheme="minorHAnsi" w:hAnsiTheme="minorHAnsi" w:cstheme="minorHAnsi"/>
          <w:lang w:val="lt-LT"/>
        </w:rPr>
        <w:t>makro</w:t>
      </w:r>
      <w:proofErr w:type="spellEnd"/>
      <w:r w:rsidR="00664898" w:rsidRPr="00C92290">
        <w:rPr>
          <w:rFonts w:asciiTheme="minorHAnsi" w:hAnsiTheme="minorHAnsi" w:cstheme="minorHAnsi"/>
          <w:lang w:val="lt-LT"/>
        </w:rPr>
        <w:t xml:space="preserve"> lygiu gali rastis sisteminiai ir prognozuojami rezultatai, ką </w:t>
      </w:r>
      <w:r w:rsidR="00D83E79">
        <w:rPr>
          <w:rFonts w:asciiTheme="minorHAnsi" w:hAnsiTheme="minorHAnsi" w:cstheme="minorHAnsi"/>
          <w:lang w:val="lt-LT"/>
        </w:rPr>
        <w:t>tyrinėja</w:t>
      </w:r>
      <w:r w:rsidR="00664898"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="00664898" w:rsidRPr="00C92290">
        <w:rPr>
          <w:rFonts w:asciiTheme="minorHAnsi" w:hAnsiTheme="minorHAnsi" w:cstheme="minorHAnsi"/>
          <w:lang w:val="lt-LT"/>
        </w:rPr>
        <w:t>makroekonomistai</w:t>
      </w:r>
      <w:proofErr w:type="spellEnd"/>
      <w:r w:rsidR="00664898" w:rsidRPr="00C92290">
        <w:rPr>
          <w:rFonts w:asciiTheme="minorHAnsi" w:hAnsiTheme="minorHAnsi" w:cstheme="minorHAnsi"/>
          <w:lang w:val="lt-LT"/>
        </w:rPr>
        <w:t xml:space="preserve">, </w:t>
      </w:r>
      <w:proofErr w:type="spellStart"/>
      <w:r w:rsidR="00664898" w:rsidRPr="00C92290">
        <w:rPr>
          <w:rFonts w:asciiTheme="minorHAnsi" w:hAnsiTheme="minorHAnsi" w:cstheme="minorHAnsi"/>
          <w:lang w:val="lt-LT"/>
        </w:rPr>
        <w:t>ekonometrai</w:t>
      </w:r>
      <w:proofErr w:type="spellEnd"/>
      <w:r w:rsidR="00664898" w:rsidRPr="00C92290">
        <w:rPr>
          <w:rFonts w:asciiTheme="minorHAnsi" w:hAnsiTheme="minorHAnsi" w:cstheme="minorHAnsi"/>
          <w:lang w:val="lt-LT"/>
        </w:rPr>
        <w:t xml:space="preserve"> ir kitų sričių ekonomikos mokslininkai.</w:t>
      </w:r>
      <w:r w:rsidR="00454A90" w:rsidRPr="00C92290">
        <w:rPr>
          <w:rFonts w:asciiTheme="minorHAnsi" w:hAnsiTheme="minorHAnsi" w:cstheme="minorHAnsi"/>
          <w:lang w:val="lt-LT"/>
        </w:rPr>
        <w:t xml:space="preserve"> </w:t>
      </w:r>
    </w:p>
    <w:p w14:paraId="0C7C4859" w14:textId="0DE8E6DB" w:rsidR="00540757" w:rsidRDefault="00454A90" w:rsidP="007D3C2E">
      <w:pPr>
        <w:pStyle w:val="NormalWeb"/>
        <w:jc w:val="both"/>
        <w:rPr>
          <w:rFonts w:asciiTheme="minorHAnsi" w:hAnsiTheme="minorHAnsi" w:cstheme="minorHAnsi"/>
          <w:lang w:val="lt-LT"/>
        </w:rPr>
      </w:pPr>
      <w:r w:rsidRPr="00C92290">
        <w:rPr>
          <w:rFonts w:asciiTheme="minorHAnsi" w:hAnsiTheme="minorHAnsi" w:cstheme="minorHAnsi"/>
          <w:lang w:val="lt-LT"/>
        </w:rPr>
        <w:t>Eksperimento taikymas taipogi tapęs priimtinu būdu tikrinti</w:t>
      </w:r>
      <w:r w:rsidR="000C40AD">
        <w:rPr>
          <w:rFonts w:asciiTheme="minorHAnsi" w:hAnsiTheme="minorHAnsi" w:cstheme="minorHAnsi"/>
          <w:lang w:val="lt-LT"/>
        </w:rPr>
        <w:t xml:space="preserve"> ekonomikos</w:t>
      </w:r>
      <w:r w:rsidRPr="00C92290">
        <w:rPr>
          <w:rFonts w:asciiTheme="minorHAnsi" w:hAnsiTheme="minorHAnsi" w:cstheme="minorHAnsi"/>
          <w:lang w:val="lt-LT"/>
        </w:rPr>
        <w:t xml:space="preserve"> teorijas, tyrinėti elgsenas ir daryti </w:t>
      </w:r>
      <w:proofErr w:type="spellStart"/>
      <w:r w:rsidRPr="00C92290">
        <w:rPr>
          <w:rFonts w:asciiTheme="minorHAnsi" w:hAnsiTheme="minorHAnsi" w:cstheme="minorHAnsi"/>
          <w:lang w:val="lt-LT"/>
        </w:rPr>
        <w:t>inferencijas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(Nobelio premija yra apdovanoti ekonomistai, atlikę realius </w:t>
      </w:r>
      <w:r w:rsidRPr="00C92290">
        <w:rPr>
          <w:rFonts w:asciiTheme="minorHAnsi" w:hAnsiTheme="minorHAnsi" w:cstheme="minorHAnsi"/>
          <w:lang w:val="lt-LT"/>
        </w:rPr>
        <w:lastRenderedPageBreak/>
        <w:t xml:space="preserve">eksperimentus, taip pat pasiūlę natūraliojo eksperimento metodologiją, kuomet be tyrėjo įsikišimo įvyksta į eksperimentą panašus įvykis). </w:t>
      </w:r>
    </w:p>
    <w:p w14:paraId="4EB8CE5B" w14:textId="6F5257B3" w:rsidR="004E33DD" w:rsidRDefault="00FD4ED4" w:rsidP="007D3C2E">
      <w:pPr>
        <w:pStyle w:val="NormalWeb"/>
        <w:jc w:val="both"/>
        <w:rPr>
          <w:rFonts w:asciiTheme="minorHAnsi" w:hAnsiTheme="minorHAnsi" w:cstheme="minorHAnsi"/>
          <w:lang w:val="lt-LT"/>
        </w:rPr>
      </w:pPr>
      <w:r w:rsidRPr="00C92290">
        <w:rPr>
          <w:rFonts w:asciiTheme="minorHAnsi" w:hAnsiTheme="minorHAnsi" w:cstheme="minorHAnsi"/>
          <w:lang w:val="lt-LT"/>
        </w:rPr>
        <w:t xml:space="preserve">Dėl to </w:t>
      </w:r>
      <w:r w:rsidR="00540757">
        <w:rPr>
          <w:rFonts w:asciiTheme="minorHAnsi" w:hAnsiTheme="minorHAnsi" w:cstheme="minorHAnsi"/>
          <w:lang w:val="lt-LT"/>
        </w:rPr>
        <w:t>taip kategoriškai</w:t>
      </w:r>
      <w:r w:rsidRPr="00C92290">
        <w:rPr>
          <w:rFonts w:asciiTheme="minorHAnsi" w:hAnsiTheme="minorHAnsi" w:cstheme="minorHAnsi"/>
          <w:lang w:val="lt-LT"/>
        </w:rPr>
        <w:t xml:space="preserve"> autorių pateiktos skirtybės nėra korektiškos. Siūlyčiau dėmesį labiau telkti ties žmon</w:t>
      </w:r>
      <w:r w:rsidR="00E94B13">
        <w:rPr>
          <w:rFonts w:asciiTheme="minorHAnsi" w:hAnsiTheme="minorHAnsi" w:cstheme="minorHAnsi"/>
          <w:lang w:val="lt-LT"/>
        </w:rPr>
        <w:t xml:space="preserve">ėms būdingu </w:t>
      </w:r>
      <w:r w:rsidRPr="00C92290">
        <w:rPr>
          <w:rFonts w:asciiTheme="minorHAnsi" w:hAnsiTheme="minorHAnsi" w:cstheme="minorHAnsi"/>
          <w:lang w:val="lt-LT"/>
        </w:rPr>
        <w:t>racionalizavimu, strategijų kūrimu, ateities numatymu ir kitais veiksniais, kurie</w:t>
      </w:r>
      <w:r w:rsidR="000809B6">
        <w:rPr>
          <w:rFonts w:asciiTheme="minorHAnsi" w:hAnsiTheme="minorHAnsi" w:cstheme="minorHAnsi"/>
          <w:lang w:val="lt-LT"/>
        </w:rPr>
        <w:t xml:space="preserve"> nėra svarbūs gamtos moksluose ir</w:t>
      </w:r>
      <w:r w:rsidRPr="00C92290">
        <w:rPr>
          <w:rFonts w:asciiTheme="minorHAnsi" w:hAnsiTheme="minorHAnsi" w:cstheme="minorHAnsi"/>
          <w:lang w:val="lt-LT"/>
        </w:rPr>
        <w:t xml:space="preserve"> daro gamtos mokslų eksperimentus lengviau kontroliuojamus, lengviau pasiduodančius </w:t>
      </w:r>
      <w:proofErr w:type="spellStart"/>
      <w:r w:rsidRPr="00C92290">
        <w:rPr>
          <w:rFonts w:asciiTheme="minorHAnsi" w:hAnsiTheme="minorHAnsi" w:cstheme="minorHAnsi"/>
          <w:lang w:val="lt-LT"/>
        </w:rPr>
        <w:t>atkartojamumui</w:t>
      </w:r>
      <w:proofErr w:type="spellEnd"/>
      <w:r w:rsidR="00D56E9F">
        <w:rPr>
          <w:rFonts w:asciiTheme="minorHAnsi" w:hAnsiTheme="minorHAnsi" w:cstheme="minorHAnsi"/>
          <w:lang w:val="lt-LT"/>
        </w:rPr>
        <w:t xml:space="preserve"> (</w:t>
      </w:r>
      <w:proofErr w:type="spellStart"/>
      <w:r w:rsidR="00D56E9F">
        <w:rPr>
          <w:rFonts w:asciiTheme="minorHAnsi" w:hAnsiTheme="minorHAnsi" w:cstheme="minorHAnsi"/>
          <w:lang w:val="lt-LT"/>
        </w:rPr>
        <w:t>replikuojamumui</w:t>
      </w:r>
      <w:proofErr w:type="spellEnd"/>
      <w:r w:rsidR="00D56E9F">
        <w:rPr>
          <w:rFonts w:asciiTheme="minorHAnsi" w:hAnsiTheme="minorHAnsi" w:cstheme="minorHAnsi"/>
          <w:lang w:val="lt-LT"/>
        </w:rPr>
        <w:t>)</w:t>
      </w:r>
      <w:r w:rsidRPr="00C92290">
        <w:rPr>
          <w:rFonts w:asciiTheme="minorHAnsi" w:hAnsiTheme="minorHAnsi" w:cstheme="minorHAnsi"/>
          <w:lang w:val="lt-LT"/>
        </w:rPr>
        <w:t xml:space="preserve"> ir priežasties nustatymui, bet, nepaisant minėtų papildomų sudėtingumų analizuojant žmones, yra neteisinga sakyti, kad ekonomikos mokslas nenaudoja eksperimento, </w:t>
      </w:r>
      <w:r w:rsidR="00626649">
        <w:rPr>
          <w:rFonts w:asciiTheme="minorHAnsi" w:hAnsiTheme="minorHAnsi" w:cstheme="minorHAnsi"/>
          <w:lang w:val="lt-LT"/>
        </w:rPr>
        <w:t xml:space="preserve">kad </w:t>
      </w:r>
      <w:r w:rsidRPr="00C92290">
        <w:rPr>
          <w:rFonts w:asciiTheme="minorHAnsi" w:hAnsiTheme="minorHAnsi" w:cstheme="minorHAnsi"/>
          <w:lang w:val="lt-LT"/>
        </w:rPr>
        <w:t xml:space="preserve">negalima numatyti </w:t>
      </w:r>
      <w:proofErr w:type="spellStart"/>
      <w:r w:rsidRPr="00C92290">
        <w:rPr>
          <w:rFonts w:asciiTheme="minorHAnsi" w:hAnsiTheme="minorHAnsi" w:cstheme="minorHAnsi"/>
          <w:lang w:val="lt-LT"/>
        </w:rPr>
        <w:t>makro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lygio elgesio ar netgi nustatyti priežastinių ryšių – tai šiuolaikinis ekonomikos mokslas, nors ir ne taip tiksliai kaip gamtos mokslai, geba atlikti.</w:t>
      </w:r>
    </w:p>
    <w:p w14:paraId="61ED5D14" w14:textId="3D936A51" w:rsidR="00232301" w:rsidRPr="000D34C8" w:rsidRDefault="00232301" w:rsidP="007D3C2E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I</w:t>
      </w:r>
      <w:r w:rsidRPr="00D83E79">
        <w:rPr>
          <w:b/>
          <w:bCs/>
          <w:lang w:val="lt-LT"/>
        </w:rPr>
        <w:t xml:space="preserve">II: </w:t>
      </w:r>
      <w:r w:rsidR="000D34C8">
        <w:rPr>
          <w:b/>
          <w:bCs/>
          <w:lang w:val="lt-LT"/>
        </w:rPr>
        <w:t>Sąvokų eiliškumas</w:t>
      </w:r>
    </w:p>
    <w:p w14:paraId="4E71769E" w14:textId="403E52E7" w:rsidR="004569CA" w:rsidRDefault="004569CA" w:rsidP="007D3C2E">
      <w:pPr>
        <w:pStyle w:val="NormalWeb"/>
        <w:jc w:val="both"/>
        <w:rPr>
          <w:rFonts w:asciiTheme="minorHAnsi" w:hAnsiTheme="minorHAnsi" w:cstheme="minorHAnsi"/>
          <w:lang w:val="lt-LT"/>
        </w:rPr>
      </w:pPr>
      <w:r w:rsidRPr="00C92290">
        <w:rPr>
          <w:rFonts w:asciiTheme="minorHAnsi" w:hAnsiTheme="minorHAnsi" w:cstheme="minorHAnsi"/>
          <w:lang w:val="lt-LT"/>
        </w:rPr>
        <w:t xml:space="preserve">Vadovėlio vientisumui norėtųsi, jog naujos sąvokos būtų apibrėžtos prieš jas vartojant. Pavyzdžiui, 25 p. apibrėžiant mikroekonomiką ir makroekonomiką atsiranda tokios sąvokos kaip pelnas, infliacija, </w:t>
      </w:r>
      <w:r w:rsidR="009A03B2" w:rsidRPr="00C92290">
        <w:rPr>
          <w:rFonts w:asciiTheme="minorHAnsi" w:hAnsiTheme="minorHAnsi" w:cstheme="minorHAnsi"/>
          <w:lang w:val="lt-LT"/>
        </w:rPr>
        <w:t xml:space="preserve">nedarbo lygis, kurios nėra apibrėžtos (pvz., pelnas bus apibrėžtas 147 p., infliacija 234 p., darbo rinkos sąvokos </w:t>
      </w:r>
      <w:r w:rsidR="00421652" w:rsidRPr="00C92290">
        <w:rPr>
          <w:rFonts w:asciiTheme="minorHAnsi" w:hAnsiTheme="minorHAnsi" w:cstheme="minorHAnsi"/>
          <w:lang w:val="lt-LT"/>
        </w:rPr>
        <w:t>pristatomos 226-227 p.).</w:t>
      </w:r>
    </w:p>
    <w:p w14:paraId="01BE5298" w14:textId="64F5D112" w:rsidR="000E17D6" w:rsidRPr="000E17D6" w:rsidRDefault="000E17D6" w:rsidP="007D3C2E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IV</w:t>
      </w:r>
      <w:r w:rsidRPr="00D83E79">
        <w:rPr>
          <w:b/>
          <w:bCs/>
          <w:lang w:val="lt-LT"/>
        </w:rPr>
        <w:t xml:space="preserve">: </w:t>
      </w:r>
      <w:r>
        <w:rPr>
          <w:b/>
          <w:bCs/>
          <w:lang w:val="lt-LT"/>
        </w:rPr>
        <w:t>Sąvokų tikslumas</w:t>
      </w:r>
    </w:p>
    <w:p w14:paraId="279ECBC1" w14:textId="6F6E4ECA" w:rsidR="00421652" w:rsidRPr="00C92290" w:rsidRDefault="00421652" w:rsidP="007D3C2E">
      <w:pPr>
        <w:pStyle w:val="NormalWeb"/>
        <w:jc w:val="both"/>
        <w:rPr>
          <w:rFonts w:asciiTheme="minorHAnsi" w:hAnsiTheme="minorHAnsi" w:cstheme="minorHAnsi"/>
          <w:lang w:val="lt-LT"/>
        </w:rPr>
      </w:pPr>
      <w:r w:rsidRPr="00C92290">
        <w:rPr>
          <w:rFonts w:asciiTheme="minorHAnsi" w:hAnsiTheme="minorHAnsi" w:cstheme="minorHAnsi"/>
          <w:lang w:val="lt-LT"/>
        </w:rPr>
        <w:t xml:space="preserve">Kai kurios sąvokos reikalauja tikslumo. Pavyzdžiui, autoriai infliaciją ir defliaciją apibrėžia per vieno iš galimų priežasčių prizmę (pinigų kiekį), o tai nėra korektiška. Infliacija nėra pinigų kiekio didėjimas; autoriai, žinoma, gali aptarti austrų mokyklos požiūrį, kuris šiuolaikinėse ekonomikose, priešingai negu M. </w:t>
      </w:r>
      <w:proofErr w:type="spellStart"/>
      <w:r w:rsidRPr="00C92290">
        <w:rPr>
          <w:rFonts w:asciiTheme="minorHAnsi" w:hAnsiTheme="minorHAnsi" w:cstheme="minorHAnsi"/>
          <w:lang w:val="lt-LT"/>
        </w:rPr>
        <w:t>Friedman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analizės laikais, yra empiriškai silpnai pagrindžiamas (žr., pvz., </w:t>
      </w:r>
      <w:proofErr w:type="spellStart"/>
      <w:r w:rsidRPr="00C92290">
        <w:rPr>
          <w:rFonts w:asciiTheme="minorHAnsi" w:hAnsiTheme="minorHAnsi" w:cstheme="minorHAnsi"/>
          <w:lang w:val="lt-LT"/>
        </w:rPr>
        <w:t>Holm-Hadulla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F., </w:t>
      </w:r>
      <w:proofErr w:type="spellStart"/>
      <w:r w:rsidRPr="00C92290">
        <w:rPr>
          <w:rFonts w:asciiTheme="minorHAnsi" w:hAnsiTheme="minorHAnsi" w:cstheme="minorHAnsi"/>
          <w:lang w:val="lt-LT"/>
        </w:rPr>
        <w:t>Musso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A., </w:t>
      </w:r>
      <w:proofErr w:type="spellStart"/>
      <w:r w:rsidRPr="00C92290">
        <w:rPr>
          <w:rFonts w:asciiTheme="minorHAnsi" w:hAnsiTheme="minorHAnsi" w:cstheme="minorHAnsi"/>
          <w:lang w:val="lt-LT"/>
        </w:rPr>
        <w:t>Rodriguez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C92290">
        <w:rPr>
          <w:rFonts w:asciiTheme="minorHAnsi" w:hAnsiTheme="minorHAnsi" w:cstheme="minorHAnsi"/>
          <w:lang w:val="lt-LT"/>
        </w:rPr>
        <w:t>Palenzuela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D., </w:t>
      </w:r>
      <w:proofErr w:type="spellStart"/>
      <w:r w:rsidRPr="00C92290">
        <w:rPr>
          <w:rFonts w:asciiTheme="minorHAnsi" w:hAnsiTheme="minorHAnsi" w:cstheme="minorHAnsi"/>
          <w:lang w:val="lt-LT"/>
        </w:rPr>
        <w:t>Vlassopoulos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T. (2021). </w:t>
      </w:r>
      <w:proofErr w:type="spellStart"/>
      <w:r w:rsidRPr="00C92290">
        <w:rPr>
          <w:rFonts w:asciiTheme="minorHAnsi" w:hAnsiTheme="minorHAnsi" w:cstheme="minorHAnsi"/>
          <w:lang w:val="lt-LT"/>
        </w:rPr>
        <w:t>Evolution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C92290">
        <w:rPr>
          <w:rFonts w:asciiTheme="minorHAnsi" w:hAnsiTheme="minorHAnsi" w:cstheme="minorHAnsi"/>
          <w:lang w:val="lt-LT"/>
        </w:rPr>
        <w:t>of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C92290">
        <w:rPr>
          <w:rFonts w:asciiTheme="minorHAnsi" w:hAnsiTheme="minorHAnsi" w:cstheme="minorHAnsi"/>
          <w:lang w:val="lt-LT"/>
        </w:rPr>
        <w:t>the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C92290">
        <w:rPr>
          <w:rFonts w:asciiTheme="minorHAnsi" w:hAnsiTheme="minorHAnsi" w:cstheme="minorHAnsi"/>
          <w:lang w:val="lt-LT"/>
        </w:rPr>
        <w:t>ECB’s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C92290">
        <w:rPr>
          <w:rFonts w:asciiTheme="minorHAnsi" w:hAnsiTheme="minorHAnsi" w:cstheme="minorHAnsi"/>
          <w:lang w:val="lt-LT"/>
        </w:rPr>
        <w:t>analytical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C92290">
        <w:rPr>
          <w:rFonts w:asciiTheme="minorHAnsi" w:hAnsiTheme="minorHAnsi" w:cstheme="minorHAnsi"/>
          <w:lang w:val="lt-LT"/>
        </w:rPr>
        <w:t>framework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. ECB </w:t>
      </w:r>
      <w:proofErr w:type="spellStart"/>
      <w:r w:rsidRPr="00C92290">
        <w:rPr>
          <w:rFonts w:asciiTheme="minorHAnsi" w:hAnsiTheme="minorHAnsi" w:cstheme="minorHAnsi"/>
          <w:lang w:val="lt-LT"/>
        </w:rPr>
        <w:t>Occasional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C92290">
        <w:rPr>
          <w:rFonts w:asciiTheme="minorHAnsi" w:hAnsiTheme="minorHAnsi" w:cstheme="minorHAnsi"/>
          <w:lang w:val="lt-LT"/>
        </w:rPr>
        <w:t>Paper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</w:t>
      </w:r>
      <w:proofErr w:type="spellStart"/>
      <w:r w:rsidRPr="00C92290">
        <w:rPr>
          <w:rFonts w:asciiTheme="minorHAnsi" w:hAnsiTheme="minorHAnsi" w:cstheme="minorHAnsi"/>
          <w:lang w:val="lt-LT"/>
        </w:rPr>
        <w:t>Series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, </w:t>
      </w:r>
      <w:proofErr w:type="spellStart"/>
      <w:r w:rsidRPr="00C92290">
        <w:rPr>
          <w:rFonts w:asciiTheme="minorHAnsi" w:hAnsiTheme="minorHAnsi" w:cstheme="minorHAnsi"/>
          <w:lang w:val="lt-LT"/>
        </w:rPr>
        <w:t>No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277 / </w:t>
      </w:r>
      <w:proofErr w:type="spellStart"/>
      <w:r w:rsidRPr="00C92290">
        <w:rPr>
          <w:rFonts w:asciiTheme="minorHAnsi" w:hAnsiTheme="minorHAnsi" w:cstheme="minorHAnsi"/>
          <w:lang w:val="lt-LT"/>
        </w:rPr>
        <w:t>September</w:t>
      </w:r>
      <w:proofErr w:type="spellEnd"/>
      <w:r w:rsidRPr="00C92290">
        <w:rPr>
          <w:rFonts w:asciiTheme="minorHAnsi" w:hAnsiTheme="minorHAnsi" w:cstheme="minorHAnsi"/>
          <w:lang w:val="lt-LT"/>
        </w:rPr>
        <w:t xml:space="preserve"> 2021.)  Taigi vadovėlio sąvokos neturėtų būti klaidinančios – infliacija, pavyzdžiui, yra </w:t>
      </w:r>
      <w:r w:rsidR="00757F61">
        <w:rPr>
          <w:rFonts w:asciiTheme="minorHAnsi" w:hAnsiTheme="minorHAnsi" w:cstheme="minorHAnsi"/>
          <w:lang w:val="lt-LT"/>
        </w:rPr>
        <w:t xml:space="preserve">visuotinai </w:t>
      </w:r>
      <w:r w:rsidRPr="00C92290">
        <w:rPr>
          <w:rFonts w:asciiTheme="minorHAnsi" w:hAnsiTheme="minorHAnsi" w:cstheme="minorHAnsi"/>
          <w:lang w:val="lt-LT"/>
        </w:rPr>
        <w:t>suprantama kaip „bendrojo (ir tai labai svarbu!) kainų lygio kilimas</w:t>
      </w:r>
      <w:r w:rsidR="00DD41B2" w:rsidRPr="00C92290">
        <w:rPr>
          <w:rFonts w:asciiTheme="minorHAnsi" w:hAnsiTheme="minorHAnsi" w:cstheme="minorHAnsi"/>
          <w:lang w:val="lt-LT"/>
        </w:rPr>
        <w:t xml:space="preserve"> (žr., pvz., </w:t>
      </w:r>
      <w:hyperlink r:id="rId7" w:history="1">
        <w:r w:rsidR="000B6174" w:rsidRPr="002F7053">
          <w:rPr>
            <w:rStyle w:val="Hyperlink"/>
            <w:rFonts w:asciiTheme="minorHAnsi" w:hAnsiTheme="minorHAnsi" w:cstheme="minorHAnsi"/>
            <w:lang w:val="lt-LT"/>
          </w:rPr>
          <w:t>https://www.ecb.europa.eu/ecb/educational/explainers/tell-me-more/html/what_is_inflation.lt.html</w:t>
        </w:r>
      </w:hyperlink>
      <w:r w:rsidR="00DD41B2" w:rsidRPr="00C92290">
        <w:rPr>
          <w:rFonts w:asciiTheme="minorHAnsi" w:hAnsiTheme="minorHAnsi" w:cstheme="minorHAnsi"/>
          <w:lang w:val="lt-LT"/>
        </w:rPr>
        <w:t>)</w:t>
      </w:r>
      <w:r w:rsidR="000B6174">
        <w:rPr>
          <w:rFonts w:asciiTheme="minorHAnsi" w:hAnsiTheme="minorHAnsi" w:cstheme="minorHAnsi"/>
          <w:lang w:val="lt-LT"/>
        </w:rPr>
        <w:t>, o</w:t>
      </w:r>
      <w:r w:rsidRPr="00C92290">
        <w:rPr>
          <w:rFonts w:asciiTheme="minorHAnsi" w:hAnsiTheme="minorHAnsi" w:cstheme="minorHAnsi"/>
          <w:lang w:val="lt-LT"/>
        </w:rPr>
        <w:t xml:space="preserve"> </w:t>
      </w:r>
      <w:r w:rsidR="00A1001B">
        <w:rPr>
          <w:rFonts w:asciiTheme="minorHAnsi" w:hAnsiTheme="minorHAnsi" w:cstheme="minorHAnsi"/>
          <w:lang w:val="lt-LT"/>
        </w:rPr>
        <w:t xml:space="preserve">galimų </w:t>
      </w:r>
      <w:r w:rsidRPr="00C92290">
        <w:rPr>
          <w:rFonts w:asciiTheme="minorHAnsi" w:hAnsiTheme="minorHAnsi" w:cstheme="minorHAnsi"/>
          <w:lang w:val="lt-LT"/>
        </w:rPr>
        <w:t xml:space="preserve">priežasčių analizė yra kitas, </w:t>
      </w:r>
      <w:r w:rsidR="00A1001B">
        <w:rPr>
          <w:rFonts w:asciiTheme="minorHAnsi" w:hAnsiTheme="minorHAnsi" w:cstheme="minorHAnsi"/>
          <w:lang w:val="lt-LT"/>
        </w:rPr>
        <w:t xml:space="preserve">bet </w:t>
      </w:r>
      <w:r w:rsidRPr="00C92290">
        <w:rPr>
          <w:rFonts w:asciiTheme="minorHAnsi" w:hAnsiTheme="minorHAnsi" w:cstheme="minorHAnsi"/>
          <w:lang w:val="lt-LT"/>
        </w:rPr>
        <w:t xml:space="preserve">ne sąvokos apibrėžimo, </w:t>
      </w:r>
      <w:r w:rsidR="00335B91">
        <w:rPr>
          <w:rFonts w:asciiTheme="minorHAnsi" w:hAnsiTheme="minorHAnsi" w:cstheme="minorHAnsi"/>
          <w:lang w:val="lt-LT"/>
        </w:rPr>
        <w:t>dalykas</w:t>
      </w:r>
      <w:r w:rsidRPr="00C92290">
        <w:rPr>
          <w:rFonts w:asciiTheme="minorHAnsi" w:hAnsiTheme="minorHAnsi" w:cstheme="minorHAnsi"/>
          <w:lang w:val="lt-LT"/>
        </w:rPr>
        <w:t>.</w:t>
      </w:r>
      <w:r w:rsidR="00113641" w:rsidRPr="00C92290">
        <w:rPr>
          <w:rFonts w:asciiTheme="minorHAnsi" w:hAnsiTheme="minorHAnsi" w:cstheme="minorHAnsi"/>
          <w:lang w:val="lt-LT"/>
        </w:rPr>
        <w:t xml:space="preserve"> Tie patys argumentai galioja ir defliacijos apibrėžimui.</w:t>
      </w:r>
    </w:p>
    <w:p w14:paraId="60639F1E" w14:textId="77777777" w:rsidR="00D67446" w:rsidRPr="009B441D" w:rsidRDefault="00D67446" w:rsidP="00D67446">
      <w:pPr>
        <w:jc w:val="center"/>
        <w:rPr>
          <w:lang w:val="lt-LT"/>
        </w:rPr>
      </w:pPr>
    </w:p>
    <w:p w14:paraId="3881C1E7" w14:textId="77777777" w:rsidR="00D67446" w:rsidRPr="009B441D" w:rsidRDefault="00D67446" w:rsidP="00D67446">
      <w:pPr>
        <w:jc w:val="center"/>
        <w:rPr>
          <w:lang w:val="lt-LT"/>
        </w:rPr>
      </w:pPr>
    </w:p>
    <w:p w14:paraId="577D1CAC" w14:textId="77777777" w:rsidR="00D67446" w:rsidRPr="009B441D" w:rsidRDefault="00D67446" w:rsidP="00D67446">
      <w:pPr>
        <w:jc w:val="center"/>
        <w:rPr>
          <w:lang w:val="lt-LT"/>
        </w:rPr>
      </w:pPr>
    </w:p>
    <w:p w14:paraId="276676B7" w14:textId="77777777" w:rsidR="00D67446" w:rsidRPr="009B441D" w:rsidRDefault="00D67446" w:rsidP="00D67446">
      <w:pPr>
        <w:jc w:val="center"/>
        <w:rPr>
          <w:lang w:val="lt-LT"/>
        </w:rPr>
      </w:pPr>
    </w:p>
    <w:sectPr w:rsidR="00D67446" w:rsidRPr="009B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E89F" w14:textId="77777777" w:rsidR="00C85F97" w:rsidRDefault="00C85F97" w:rsidP="00AA73E8">
      <w:r>
        <w:separator/>
      </w:r>
    </w:p>
  </w:endnote>
  <w:endnote w:type="continuationSeparator" w:id="0">
    <w:p w14:paraId="2B81F72C" w14:textId="77777777" w:rsidR="00C85F97" w:rsidRDefault="00C85F97" w:rsidP="00AA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733F" w14:textId="77777777" w:rsidR="00C85F97" w:rsidRDefault="00C85F97" w:rsidP="00AA73E8">
      <w:r>
        <w:separator/>
      </w:r>
    </w:p>
  </w:footnote>
  <w:footnote w:type="continuationSeparator" w:id="0">
    <w:p w14:paraId="26105CC0" w14:textId="77777777" w:rsidR="00C85F97" w:rsidRDefault="00C85F97" w:rsidP="00AA73E8">
      <w:r>
        <w:continuationSeparator/>
      </w:r>
    </w:p>
  </w:footnote>
  <w:footnote w:id="1">
    <w:p w14:paraId="755F219E" w14:textId="6B975F19" w:rsidR="0074106F" w:rsidRPr="0074106F" w:rsidRDefault="0074106F" w:rsidP="0074106F">
      <w:pPr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4106F">
        <w:rPr>
          <w:sz w:val="20"/>
          <w:szCs w:val="20"/>
        </w:rPr>
        <w:t>Vadovėlyje</w:t>
      </w:r>
      <w:proofErr w:type="spellEnd"/>
      <w:r w:rsidRPr="0074106F">
        <w:rPr>
          <w:sz w:val="20"/>
          <w:szCs w:val="20"/>
        </w:rPr>
        <w:t xml:space="preserve"> </w:t>
      </w:r>
      <w:r>
        <w:rPr>
          <w:sz w:val="20"/>
          <w:szCs w:val="20"/>
          <w:lang w:val="lt-LT"/>
        </w:rPr>
        <w:t>g</w:t>
      </w:r>
      <w:r w:rsidRPr="0074106F">
        <w:rPr>
          <w:sz w:val="20"/>
          <w:szCs w:val="20"/>
          <w:lang w:val="lt-LT"/>
        </w:rPr>
        <w:t>rafiku pateiktas biudžetas, bet galėtų</w:t>
      </w:r>
      <w:r>
        <w:rPr>
          <w:sz w:val="20"/>
          <w:szCs w:val="20"/>
          <w:lang w:val="lt-LT"/>
        </w:rPr>
        <w:t>, pavyzdžiui,</w:t>
      </w:r>
      <w:r w:rsidRPr="0074106F">
        <w:rPr>
          <w:sz w:val="20"/>
          <w:szCs w:val="20"/>
          <w:lang w:val="lt-LT"/>
        </w:rPr>
        <w:t xml:space="preserve"> būti</w:t>
      </w:r>
      <w:r>
        <w:rPr>
          <w:sz w:val="20"/>
          <w:szCs w:val="20"/>
          <w:lang w:val="lt-LT"/>
        </w:rPr>
        <w:t xml:space="preserve"> pateikta Lietuvos</w:t>
      </w:r>
      <w:r w:rsidRPr="0074106F">
        <w:rPr>
          <w:sz w:val="20"/>
          <w:szCs w:val="20"/>
          <w:lang w:val="lt-LT"/>
        </w:rPr>
        <w:t xml:space="preserve"> importo ir eksporto struktūra, pagrindinės</w:t>
      </w:r>
      <w:r>
        <w:rPr>
          <w:sz w:val="20"/>
          <w:szCs w:val="20"/>
          <w:lang w:val="lt-LT"/>
        </w:rPr>
        <w:t xml:space="preserve"> Lietuvos</w:t>
      </w:r>
      <w:r w:rsidRPr="0074106F">
        <w:rPr>
          <w:sz w:val="20"/>
          <w:szCs w:val="20"/>
          <w:lang w:val="lt-LT"/>
        </w:rPr>
        <w:t xml:space="preserve"> rinkos, valstybės skolos dinamika,</w:t>
      </w:r>
      <w:r>
        <w:rPr>
          <w:sz w:val="20"/>
          <w:szCs w:val="20"/>
          <w:lang w:val="lt-LT"/>
        </w:rPr>
        <w:t xml:space="preserve"> moksleivių</w:t>
      </w:r>
      <w:r w:rsidRPr="0074106F">
        <w:rPr>
          <w:sz w:val="20"/>
          <w:szCs w:val="20"/>
          <w:lang w:val="lt-LT"/>
        </w:rPr>
        <w:t xml:space="preserve"> klausiant paaiškinimo kodėl </w:t>
      </w:r>
      <w:r w:rsidR="00263DBB">
        <w:rPr>
          <w:sz w:val="20"/>
          <w:szCs w:val="20"/>
          <w:lang w:val="lt-LT"/>
        </w:rPr>
        <w:t xml:space="preserve">ji </w:t>
      </w:r>
      <w:r>
        <w:rPr>
          <w:sz w:val="20"/>
          <w:szCs w:val="20"/>
          <w:lang w:val="lt-LT"/>
        </w:rPr>
        <w:t xml:space="preserve">būtent </w:t>
      </w:r>
      <w:r w:rsidRPr="0074106F">
        <w:rPr>
          <w:sz w:val="20"/>
          <w:szCs w:val="20"/>
          <w:lang w:val="lt-LT"/>
        </w:rPr>
        <w:t>tokia</w:t>
      </w:r>
      <w:r>
        <w:rPr>
          <w:sz w:val="20"/>
          <w:szCs w:val="20"/>
          <w:lang w:val="lt-LT"/>
        </w:rPr>
        <w:t>, prašant susieti su pagrindiniais įvykiais</w:t>
      </w:r>
      <w:r w:rsidRPr="0074106F">
        <w:rPr>
          <w:sz w:val="20"/>
          <w:szCs w:val="20"/>
          <w:lang w:val="lt-LT"/>
        </w:rPr>
        <w:t>.</w:t>
      </w:r>
      <w:r>
        <w:rPr>
          <w:sz w:val="20"/>
          <w:szCs w:val="20"/>
          <w:lang w:val="lt-LT"/>
        </w:rPr>
        <w:t xml:space="preserve"> Dėl vadovėlio apimties apribojimų, šios ir panašios duomenų vizualizacijos galėtų būti pateiktos internete, taip</w:t>
      </w:r>
      <w:r w:rsidRPr="0074106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skatinant moksleivius užsiimti saviugda, atlikti įvairesnius namų darbus</w:t>
      </w:r>
      <w:r w:rsidR="00263DBB">
        <w:rPr>
          <w:sz w:val="20"/>
          <w:szCs w:val="20"/>
          <w:lang w:val="lt-LT"/>
        </w:rPr>
        <w:t>.</w:t>
      </w:r>
    </w:p>
  </w:footnote>
  <w:footnote w:id="2">
    <w:p w14:paraId="1B14E1A3" w14:textId="1AE97AFF" w:rsidR="00AA73E8" w:rsidRPr="00AA73E8" w:rsidRDefault="00AA73E8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>Pavyzdžiui, vietoj fokuso į „darbdavio“ sumokamą Sodros mokestį, kas yra buhalterinis požiūris, kodėl nepaklausus dar labiau konceptualių klausimų – kas, darbdavys ar darbuotojas, sumoka darbo mokesčius? Kas, ekonomine prasme, yra atostoginių mokėjimas, kai darbuotojas nedirba ir atostogauja? Ir pan.</w:t>
      </w:r>
    </w:p>
  </w:footnote>
  <w:footnote w:id="3">
    <w:p w14:paraId="5E22C20F" w14:textId="5E1143F5" w:rsidR="00B12EDC" w:rsidRPr="00B12EDC" w:rsidRDefault="00B12EDC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 xml:space="preserve">Maža korektūros detalė – knygos turinyje nurodomi temų puslapiai </w:t>
      </w:r>
      <w:r w:rsidR="0017513B">
        <w:rPr>
          <w:lang w:val="lt-LT"/>
        </w:rPr>
        <w:t xml:space="preserve">neatitinka faktinių </w:t>
      </w:r>
      <w:proofErr w:type="spellStart"/>
      <w:r w:rsidR="0017513B">
        <w:rPr>
          <w:lang w:val="lt-LT"/>
        </w:rPr>
        <w:t>tem</w:t>
      </w:r>
      <w:proofErr w:type="spellEnd"/>
      <w:r w:rsidR="0017513B">
        <w:rPr>
          <w:lang w:val="lt-LT"/>
        </w:rPr>
        <w:t>ų puslapių.</w:t>
      </w:r>
      <w:r>
        <w:rPr>
          <w:lang w:val="lt-LT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46"/>
    <w:rsid w:val="00017C53"/>
    <w:rsid w:val="00064C0F"/>
    <w:rsid w:val="00066CAE"/>
    <w:rsid w:val="000809B6"/>
    <w:rsid w:val="000A1FF6"/>
    <w:rsid w:val="000B6174"/>
    <w:rsid w:val="000C40AD"/>
    <w:rsid w:val="000D2AA6"/>
    <w:rsid w:val="000D34C8"/>
    <w:rsid w:val="000E17D6"/>
    <w:rsid w:val="00106610"/>
    <w:rsid w:val="00113641"/>
    <w:rsid w:val="001246BC"/>
    <w:rsid w:val="0017513B"/>
    <w:rsid w:val="001B4175"/>
    <w:rsid w:val="001E1FE5"/>
    <w:rsid w:val="001E6146"/>
    <w:rsid w:val="001F40FF"/>
    <w:rsid w:val="001F4AD0"/>
    <w:rsid w:val="00224DF9"/>
    <w:rsid w:val="00232301"/>
    <w:rsid w:val="00263DBB"/>
    <w:rsid w:val="002710E4"/>
    <w:rsid w:val="002B543F"/>
    <w:rsid w:val="002C5DC2"/>
    <w:rsid w:val="00324E00"/>
    <w:rsid w:val="00335B91"/>
    <w:rsid w:val="003B2113"/>
    <w:rsid w:val="003C504A"/>
    <w:rsid w:val="004144E3"/>
    <w:rsid w:val="00421652"/>
    <w:rsid w:val="00454A90"/>
    <w:rsid w:val="004569CA"/>
    <w:rsid w:val="004A632B"/>
    <w:rsid w:val="004E2222"/>
    <w:rsid w:val="004E33DD"/>
    <w:rsid w:val="004F625E"/>
    <w:rsid w:val="00503F0E"/>
    <w:rsid w:val="00512E5E"/>
    <w:rsid w:val="00540757"/>
    <w:rsid w:val="00565E8B"/>
    <w:rsid w:val="005E0638"/>
    <w:rsid w:val="00626649"/>
    <w:rsid w:val="00664898"/>
    <w:rsid w:val="00667BF6"/>
    <w:rsid w:val="006777F6"/>
    <w:rsid w:val="006F0EC1"/>
    <w:rsid w:val="006F2D70"/>
    <w:rsid w:val="0074106F"/>
    <w:rsid w:val="007430A8"/>
    <w:rsid w:val="00751D2B"/>
    <w:rsid w:val="00757F61"/>
    <w:rsid w:val="007B0D77"/>
    <w:rsid w:val="007B4A80"/>
    <w:rsid w:val="007C647E"/>
    <w:rsid w:val="007D3C2E"/>
    <w:rsid w:val="007F26A9"/>
    <w:rsid w:val="008078E0"/>
    <w:rsid w:val="0083640E"/>
    <w:rsid w:val="008B4396"/>
    <w:rsid w:val="008B5217"/>
    <w:rsid w:val="009005A7"/>
    <w:rsid w:val="009359BA"/>
    <w:rsid w:val="009A03B2"/>
    <w:rsid w:val="009B441D"/>
    <w:rsid w:val="009B785E"/>
    <w:rsid w:val="009E059F"/>
    <w:rsid w:val="00A1001B"/>
    <w:rsid w:val="00A563BA"/>
    <w:rsid w:val="00A56D44"/>
    <w:rsid w:val="00A831D1"/>
    <w:rsid w:val="00AA49F2"/>
    <w:rsid w:val="00AA73E8"/>
    <w:rsid w:val="00AC74F1"/>
    <w:rsid w:val="00AD045A"/>
    <w:rsid w:val="00AF062D"/>
    <w:rsid w:val="00B12EDC"/>
    <w:rsid w:val="00BA75A5"/>
    <w:rsid w:val="00BC0C72"/>
    <w:rsid w:val="00C85F97"/>
    <w:rsid w:val="00C92290"/>
    <w:rsid w:val="00CA5BB8"/>
    <w:rsid w:val="00CF64E3"/>
    <w:rsid w:val="00D13838"/>
    <w:rsid w:val="00D56E9F"/>
    <w:rsid w:val="00D67446"/>
    <w:rsid w:val="00D83E79"/>
    <w:rsid w:val="00DD41B2"/>
    <w:rsid w:val="00DD46E5"/>
    <w:rsid w:val="00E67B14"/>
    <w:rsid w:val="00E94B13"/>
    <w:rsid w:val="00EE501C"/>
    <w:rsid w:val="00FC28CD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64E2"/>
  <w15:chartTrackingRefBased/>
  <w15:docId w15:val="{F2D0E217-ADF0-5548-874E-70363393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7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3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3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3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6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b.europa.eu/ecb/educational/explainers/tell-me-more/html/what_is_inflation.l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44DF9F-EDC4-5442-91C3-BBD3AD8D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Lastauskas Povilas</dc:creator>
  <cp:keywords/>
  <dc:description/>
  <cp:lastModifiedBy>Lastauskas Povilas</cp:lastModifiedBy>
  <cp:revision>94</cp:revision>
  <dcterms:created xsi:type="dcterms:W3CDTF">2023-06-11T16:52:00Z</dcterms:created>
  <dcterms:modified xsi:type="dcterms:W3CDTF">2023-06-11T23:23:00Z</dcterms:modified>
</cp:coreProperties>
</file>