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EDDC" w14:textId="6698E348" w:rsidR="005A5426" w:rsidRPr="00A40B6E" w:rsidRDefault="00BE2EE1" w:rsidP="005A5426">
      <w:pPr>
        <w:rPr>
          <w:rFonts w:asciiTheme="majorHAnsi" w:hAnsiTheme="majorHAnsi" w:cstheme="majorHAnsi"/>
        </w:rPr>
      </w:pPr>
      <w:r w:rsidRPr="00A40B6E">
        <w:rPr>
          <w:rFonts w:asciiTheme="majorHAnsi" w:hAnsiTheme="majorHAnsi" w:cstheme="majorHAnsi"/>
          <w:b/>
          <w:bCs/>
          <w:color w:val="2E75B5"/>
          <w:sz w:val="32"/>
          <w:szCs w:val="32"/>
        </w:rPr>
        <w:t>LLRI pastabos ir pasiūlymai dėl Lietuvos Respublikos tabako, tabako gaminių ir su jais susijusių gaminių kontrolės įstatymo Nr. I-1143 2, 6, 8</w:t>
      </w:r>
      <w:r w:rsidRPr="00A40B6E">
        <w:rPr>
          <w:rFonts w:asciiTheme="majorHAnsi" w:hAnsiTheme="majorHAnsi" w:cstheme="majorHAnsi"/>
          <w:b/>
          <w:bCs/>
          <w:color w:val="2E75B5"/>
          <w:sz w:val="19"/>
          <w:szCs w:val="19"/>
          <w:vertAlign w:val="superscript"/>
        </w:rPr>
        <w:t>2</w:t>
      </w:r>
      <w:r w:rsidRPr="00A40B6E">
        <w:rPr>
          <w:rFonts w:asciiTheme="majorHAnsi" w:hAnsiTheme="majorHAnsi" w:cstheme="majorHAnsi"/>
          <w:b/>
          <w:bCs/>
          <w:color w:val="2E75B5"/>
          <w:sz w:val="32"/>
          <w:szCs w:val="32"/>
        </w:rPr>
        <w:t>, 8</w:t>
      </w:r>
      <w:r w:rsidRPr="00A40B6E">
        <w:rPr>
          <w:rFonts w:asciiTheme="majorHAnsi" w:hAnsiTheme="majorHAnsi" w:cstheme="majorHAnsi"/>
          <w:b/>
          <w:bCs/>
          <w:color w:val="2E75B5"/>
          <w:sz w:val="19"/>
          <w:szCs w:val="19"/>
          <w:vertAlign w:val="superscript"/>
        </w:rPr>
        <w:t>3</w:t>
      </w:r>
      <w:r w:rsidRPr="00A40B6E">
        <w:rPr>
          <w:rFonts w:asciiTheme="majorHAnsi" w:hAnsiTheme="majorHAnsi" w:cstheme="majorHAnsi"/>
          <w:b/>
          <w:bCs/>
          <w:color w:val="2E75B5"/>
          <w:sz w:val="32"/>
          <w:szCs w:val="32"/>
        </w:rPr>
        <w:t>, 8</w:t>
      </w:r>
      <w:r w:rsidRPr="00A40B6E">
        <w:rPr>
          <w:rFonts w:asciiTheme="majorHAnsi" w:hAnsiTheme="majorHAnsi" w:cstheme="majorHAnsi"/>
          <w:b/>
          <w:bCs/>
          <w:color w:val="2E75B5"/>
          <w:sz w:val="19"/>
          <w:szCs w:val="19"/>
          <w:vertAlign w:val="superscript"/>
        </w:rPr>
        <w:t>7</w:t>
      </w:r>
      <w:r w:rsidRPr="00A40B6E">
        <w:rPr>
          <w:rFonts w:asciiTheme="majorHAnsi" w:hAnsiTheme="majorHAnsi" w:cstheme="majorHAnsi"/>
          <w:b/>
          <w:bCs/>
          <w:color w:val="2E75B5"/>
          <w:sz w:val="32"/>
          <w:szCs w:val="32"/>
        </w:rPr>
        <w:t>, 9, 9</w:t>
      </w:r>
      <w:r w:rsidRPr="00A40B6E">
        <w:rPr>
          <w:rFonts w:asciiTheme="majorHAnsi" w:hAnsiTheme="majorHAnsi" w:cstheme="majorHAnsi"/>
          <w:b/>
          <w:bCs/>
          <w:color w:val="2E75B5"/>
          <w:sz w:val="19"/>
          <w:szCs w:val="19"/>
          <w:vertAlign w:val="superscript"/>
        </w:rPr>
        <w:t>3</w:t>
      </w:r>
      <w:r w:rsidRPr="00A40B6E">
        <w:rPr>
          <w:rFonts w:asciiTheme="majorHAnsi" w:hAnsiTheme="majorHAnsi" w:cstheme="majorHAnsi"/>
          <w:b/>
          <w:bCs/>
          <w:color w:val="2E75B5"/>
          <w:sz w:val="32"/>
          <w:szCs w:val="32"/>
        </w:rPr>
        <w:t>, 9</w:t>
      </w:r>
      <w:r w:rsidRPr="00A40B6E">
        <w:rPr>
          <w:rFonts w:asciiTheme="majorHAnsi" w:hAnsiTheme="majorHAnsi" w:cstheme="majorHAnsi"/>
          <w:b/>
          <w:bCs/>
          <w:color w:val="2E75B5"/>
          <w:sz w:val="19"/>
          <w:szCs w:val="19"/>
          <w:vertAlign w:val="superscript"/>
        </w:rPr>
        <w:t>10</w:t>
      </w:r>
      <w:r w:rsidRPr="00A40B6E">
        <w:rPr>
          <w:rFonts w:asciiTheme="majorHAnsi" w:hAnsiTheme="majorHAnsi" w:cstheme="majorHAnsi"/>
          <w:b/>
          <w:bCs/>
          <w:color w:val="2E75B5"/>
          <w:sz w:val="32"/>
          <w:szCs w:val="32"/>
        </w:rPr>
        <w:t>, 9</w:t>
      </w:r>
      <w:r w:rsidRPr="00A40B6E">
        <w:rPr>
          <w:rFonts w:asciiTheme="majorHAnsi" w:hAnsiTheme="majorHAnsi" w:cstheme="majorHAnsi"/>
          <w:b/>
          <w:bCs/>
          <w:color w:val="2E75B5"/>
          <w:sz w:val="19"/>
          <w:szCs w:val="19"/>
          <w:vertAlign w:val="superscript"/>
        </w:rPr>
        <w:t>11</w:t>
      </w:r>
      <w:r w:rsidRPr="00A40B6E">
        <w:rPr>
          <w:rFonts w:asciiTheme="majorHAnsi" w:hAnsiTheme="majorHAnsi" w:cstheme="majorHAnsi"/>
          <w:b/>
          <w:bCs/>
          <w:color w:val="2E75B5"/>
          <w:sz w:val="32"/>
          <w:szCs w:val="32"/>
        </w:rPr>
        <w:t>, 11, 16, 17, 18, 19 ir 26 straipsnių pakeitimo ir įstatymo papildymo 15</w:t>
      </w:r>
      <w:r w:rsidRPr="00A40B6E">
        <w:rPr>
          <w:rFonts w:asciiTheme="majorHAnsi" w:hAnsiTheme="majorHAnsi" w:cstheme="majorHAnsi"/>
          <w:b/>
          <w:bCs/>
          <w:color w:val="2E75B5"/>
          <w:sz w:val="19"/>
          <w:szCs w:val="19"/>
          <w:shd w:val="clear" w:color="auto" w:fill="FFFFFF"/>
          <w:vertAlign w:val="superscript"/>
        </w:rPr>
        <w:t>1</w:t>
      </w:r>
      <w:r w:rsidRPr="00A40B6E">
        <w:rPr>
          <w:rFonts w:asciiTheme="majorHAnsi" w:hAnsiTheme="majorHAnsi" w:cstheme="majorHAnsi"/>
          <w:b/>
          <w:bCs/>
          <w:color w:val="2E75B5"/>
          <w:sz w:val="32"/>
          <w:szCs w:val="32"/>
          <w:shd w:val="clear" w:color="auto" w:fill="FFFFFF"/>
        </w:rPr>
        <w:t xml:space="preserve"> </w:t>
      </w:r>
      <w:r w:rsidRPr="00A40B6E">
        <w:rPr>
          <w:rFonts w:asciiTheme="majorHAnsi" w:hAnsiTheme="majorHAnsi" w:cstheme="majorHAnsi"/>
          <w:b/>
          <w:bCs/>
          <w:color w:val="2E75B5"/>
          <w:sz w:val="32"/>
          <w:szCs w:val="32"/>
        </w:rPr>
        <w:t>straipsniu įstatymo projekto</w:t>
      </w:r>
    </w:p>
    <w:p w14:paraId="6657E8BC" w14:textId="787FB155" w:rsidR="005A5426" w:rsidRPr="00A40B6E" w:rsidRDefault="00BF608C" w:rsidP="005A5426">
      <w:pPr>
        <w:rPr>
          <w:rFonts w:asciiTheme="majorHAnsi" w:hAnsiTheme="majorHAnsi" w:cstheme="majorHAnsi"/>
        </w:rPr>
      </w:pPr>
      <w:r w:rsidRPr="00A40B6E">
        <w:rPr>
          <w:rFonts w:asciiTheme="majorHAnsi" w:hAnsiTheme="majorHAnsi" w:cstheme="majorHAnsi"/>
        </w:rPr>
        <w:t>L</w:t>
      </w:r>
      <w:r w:rsidR="00BE2EE1" w:rsidRPr="00A40B6E">
        <w:rPr>
          <w:rFonts w:asciiTheme="majorHAnsi" w:hAnsiTheme="majorHAnsi" w:cstheme="majorHAnsi"/>
        </w:rPr>
        <w:t>ietuvos Respublikos Sveikatos apsaugos ministerija (toliau – LRSAM) įstatymo projektu Nr. 18-9829</w:t>
      </w:r>
      <w:r w:rsidR="005A5426" w:rsidRPr="00A40B6E">
        <w:rPr>
          <w:rFonts w:asciiTheme="majorHAnsi" w:hAnsiTheme="majorHAnsi" w:cstheme="majorHAnsi"/>
          <w:vertAlign w:val="superscript"/>
        </w:rPr>
        <w:footnoteReference w:id="1"/>
      </w:r>
      <w:r w:rsidR="005A5426" w:rsidRPr="00A40B6E">
        <w:rPr>
          <w:rFonts w:asciiTheme="majorHAnsi" w:hAnsiTheme="majorHAnsi" w:cstheme="majorHAnsi"/>
        </w:rPr>
        <w:t xml:space="preserve"> (toliau – Projektas) siekia pakeisti Lietuvos Respublikos tabako, tabako gaminių ir su jais susijusių gaminių kontrolės įstatymą įteisindama bendrinę </w:t>
      </w:r>
      <w:r w:rsidR="0026209B" w:rsidRPr="00A40B6E">
        <w:rPr>
          <w:rFonts w:asciiTheme="majorHAnsi" w:hAnsiTheme="majorHAnsi" w:cstheme="majorHAnsi"/>
        </w:rPr>
        <w:t xml:space="preserve">cigarečių ir suktinių tabako vienetinių pakelių </w:t>
      </w:r>
      <w:r w:rsidR="005A5426" w:rsidRPr="00A40B6E">
        <w:rPr>
          <w:rFonts w:asciiTheme="majorHAnsi" w:hAnsiTheme="majorHAnsi" w:cstheme="majorHAnsi"/>
        </w:rPr>
        <w:t>pakuotę</w:t>
      </w:r>
      <w:r w:rsidR="005A5426" w:rsidRPr="00A40B6E">
        <w:rPr>
          <w:rStyle w:val="FootnoteReference"/>
          <w:rFonts w:asciiTheme="majorHAnsi" w:hAnsiTheme="majorHAnsi" w:cstheme="majorHAnsi"/>
          <w:szCs w:val="20"/>
        </w:rPr>
        <w:footnoteReference w:id="2"/>
      </w:r>
      <w:r w:rsidR="005A5426" w:rsidRPr="00A40B6E">
        <w:rPr>
          <w:rFonts w:asciiTheme="majorHAnsi" w:hAnsiTheme="majorHAnsi" w:cstheme="majorHAnsi"/>
        </w:rPr>
        <w:t xml:space="preserve"> (toliau – bendrinę pakuotę), </w:t>
      </w:r>
      <w:r w:rsidR="00BC4574" w:rsidRPr="00A40B6E">
        <w:rPr>
          <w:rFonts w:asciiTheme="majorHAnsi" w:hAnsiTheme="majorHAnsi" w:cstheme="majorHAnsi"/>
        </w:rPr>
        <w:t xml:space="preserve">įvesti </w:t>
      </w:r>
      <w:r w:rsidR="005A5426" w:rsidRPr="00A40B6E">
        <w:rPr>
          <w:rFonts w:asciiTheme="majorHAnsi" w:hAnsiTheme="majorHAnsi" w:cstheme="majorHAnsi"/>
        </w:rPr>
        <w:t>tabako gaminių, su tabako gaminiais susijusių gaminių ir įrenginių</w:t>
      </w:r>
      <w:r w:rsidR="003F306E" w:rsidRPr="00A40B6E">
        <w:rPr>
          <w:rFonts w:asciiTheme="majorHAnsi" w:hAnsiTheme="majorHAnsi" w:cstheme="majorHAnsi"/>
        </w:rPr>
        <w:t>, skirtų šiems gaminiams vartoti</w:t>
      </w:r>
      <w:r w:rsidR="00BC7861" w:rsidRPr="00A40B6E">
        <w:rPr>
          <w:rFonts w:asciiTheme="majorHAnsi" w:hAnsiTheme="majorHAnsi" w:cstheme="majorHAnsi"/>
        </w:rPr>
        <w:t xml:space="preserve"> (toliau – tabako ir susiję gaminiai)</w:t>
      </w:r>
      <w:r w:rsidR="005A5426" w:rsidRPr="00A40B6E">
        <w:rPr>
          <w:rFonts w:asciiTheme="majorHAnsi" w:hAnsiTheme="majorHAnsi" w:cstheme="majorHAnsi"/>
        </w:rPr>
        <w:t xml:space="preserve"> pardavimą tiesiogiai neprieinamu būdu, uždrausti vartoti tabaką</w:t>
      </w:r>
      <w:r w:rsidR="00BC4574" w:rsidRPr="00A40B6E">
        <w:rPr>
          <w:rFonts w:asciiTheme="majorHAnsi" w:hAnsiTheme="majorHAnsi" w:cstheme="majorHAnsi"/>
        </w:rPr>
        <w:t xml:space="preserve"> ir susijusius gaminius įvairiose </w:t>
      </w:r>
      <w:r w:rsidR="005A5426" w:rsidRPr="00A40B6E">
        <w:rPr>
          <w:rFonts w:asciiTheme="majorHAnsi" w:hAnsiTheme="majorHAnsi" w:cstheme="majorHAnsi"/>
        </w:rPr>
        <w:t>viešose</w:t>
      </w:r>
      <w:r w:rsidR="00A06DC3" w:rsidRPr="00A40B6E">
        <w:rPr>
          <w:rFonts w:asciiTheme="majorHAnsi" w:hAnsiTheme="majorHAnsi" w:cstheme="majorHAnsi"/>
        </w:rPr>
        <w:t xml:space="preserve"> ir privačiose</w:t>
      </w:r>
      <w:r w:rsidR="005A5426" w:rsidRPr="00A40B6E">
        <w:rPr>
          <w:rFonts w:asciiTheme="majorHAnsi" w:hAnsiTheme="majorHAnsi" w:cstheme="majorHAnsi"/>
        </w:rPr>
        <w:t xml:space="preserve"> vietose.</w:t>
      </w:r>
    </w:p>
    <w:p w14:paraId="55887001" w14:textId="241D1175" w:rsidR="005A5426" w:rsidRPr="00A40B6E" w:rsidRDefault="005A5426" w:rsidP="005A5426">
      <w:pPr>
        <w:rPr>
          <w:rFonts w:asciiTheme="majorHAnsi" w:hAnsiTheme="majorHAnsi" w:cstheme="majorHAnsi"/>
        </w:rPr>
      </w:pPr>
      <w:r w:rsidRPr="00A40B6E">
        <w:rPr>
          <w:rFonts w:asciiTheme="majorHAnsi" w:hAnsiTheme="majorHAnsi" w:cstheme="majorHAnsi"/>
        </w:rPr>
        <w:t>Lietuvos laisvosios rinkos institutas (toliau – LLRI) nepritaria sieki</w:t>
      </w:r>
      <w:r w:rsidR="003C5B7B" w:rsidRPr="00A40B6E">
        <w:rPr>
          <w:rFonts w:asciiTheme="majorHAnsi" w:hAnsiTheme="majorHAnsi" w:cstheme="majorHAnsi"/>
        </w:rPr>
        <w:t>ams</w:t>
      </w:r>
      <w:r w:rsidRPr="00A40B6E">
        <w:rPr>
          <w:rFonts w:asciiTheme="majorHAnsi" w:hAnsiTheme="majorHAnsi" w:cstheme="majorHAnsi"/>
        </w:rPr>
        <w:t xml:space="preserve"> įteisinti bendrinę pakuotę, tabako gaminių pardavimą tiesiogiai neprieinamu būdu, uždrausti rūkyti įvairiose viešosiose erdvėse ir teikia pastabas bei pasiūlymus.</w:t>
      </w:r>
    </w:p>
    <w:p w14:paraId="43458852" w14:textId="46642DD2" w:rsidR="00BE2EE1" w:rsidRPr="00A40B6E" w:rsidRDefault="00BE2EE1" w:rsidP="009244B3">
      <w:pPr>
        <w:pStyle w:val="ListParagraph"/>
        <w:numPr>
          <w:ilvl w:val="0"/>
          <w:numId w:val="29"/>
        </w:numPr>
        <w:rPr>
          <w:rFonts w:asciiTheme="majorHAnsi" w:hAnsiTheme="majorHAnsi" w:cstheme="majorHAnsi"/>
          <w:color w:val="2E75B5"/>
          <w:sz w:val="26"/>
          <w:szCs w:val="26"/>
        </w:rPr>
      </w:pPr>
      <w:r w:rsidRPr="00A40B6E">
        <w:rPr>
          <w:rFonts w:asciiTheme="majorHAnsi" w:hAnsiTheme="majorHAnsi" w:cstheme="majorHAnsi"/>
          <w:color w:val="2E75B5"/>
          <w:sz w:val="26"/>
          <w:szCs w:val="26"/>
        </w:rPr>
        <w:t>Dėl siekio uždrausti tabako gaminių pakuotėje naudoti logotipą, prekinį ženklą, jo spalvas, šriftus ir kitus dizaino elementus (įteisinti bendrinę tabako gaminių pakuotę)</w:t>
      </w:r>
    </w:p>
    <w:p w14:paraId="3DFDD869" w14:textId="74FCEE64" w:rsidR="00BE2EE1" w:rsidRPr="00A40B6E" w:rsidRDefault="00BE2EE1" w:rsidP="00BE2EE1">
      <w:pPr>
        <w:pStyle w:val="NormalWeb"/>
        <w:spacing w:before="0" w:beforeAutospacing="0" w:after="0" w:afterAutospacing="0"/>
        <w:jc w:val="both"/>
        <w:textAlignment w:val="baseline"/>
        <w:rPr>
          <w:rFonts w:asciiTheme="majorHAnsi" w:hAnsiTheme="majorHAnsi" w:cstheme="majorHAnsi"/>
          <w:color w:val="000000"/>
          <w:sz w:val="22"/>
          <w:szCs w:val="22"/>
        </w:rPr>
      </w:pPr>
      <w:r w:rsidRPr="00A40B6E">
        <w:rPr>
          <w:rFonts w:asciiTheme="majorHAnsi" w:hAnsiTheme="majorHAnsi" w:cstheme="majorHAnsi"/>
          <w:color w:val="000000"/>
          <w:sz w:val="22"/>
          <w:szCs w:val="22"/>
        </w:rPr>
        <w:t>Įstatymo projekto 5 straipsnis siūlo uždrausti cigaretes ir suktinių tabaką pakuoti į įmonių pasirinkto dizaino pakuotę, naudoti spalvas, šriftus kurie kon</w:t>
      </w:r>
      <w:r w:rsidR="001832D7" w:rsidRPr="00A40B6E">
        <w:rPr>
          <w:rFonts w:asciiTheme="majorHAnsi" w:hAnsiTheme="majorHAnsi" w:cstheme="majorHAnsi"/>
          <w:color w:val="000000"/>
          <w:sz w:val="22"/>
          <w:szCs w:val="22"/>
        </w:rPr>
        <w:t>k</w:t>
      </w:r>
      <w:r w:rsidRPr="00A40B6E">
        <w:rPr>
          <w:rFonts w:asciiTheme="majorHAnsi" w:hAnsiTheme="majorHAnsi" w:cstheme="majorHAnsi"/>
          <w:color w:val="000000"/>
          <w:sz w:val="22"/>
          <w:szCs w:val="22"/>
        </w:rPr>
        <w:t>retaus prekinio ženklo cigaretes išskiria iš kitų prekinių ženklų ar gamintojų cigarečių (t.</w:t>
      </w:r>
      <w:r w:rsidR="00E70CE6" w:rsidRPr="00A40B6E">
        <w:rPr>
          <w:rFonts w:asciiTheme="majorHAnsi" w:hAnsiTheme="majorHAnsi" w:cstheme="majorHAnsi"/>
          <w:color w:val="000000"/>
          <w:sz w:val="22"/>
          <w:szCs w:val="22"/>
        </w:rPr>
        <w:t xml:space="preserve"> </w:t>
      </w:r>
      <w:r w:rsidRPr="00A40B6E">
        <w:rPr>
          <w:rFonts w:asciiTheme="majorHAnsi" w:hAnsiTheme="majorHAnsi" w:cstheme="majorHAnsi"/>
          <w:color w:val="000000"/>
          <w:sz w:val="22"/>
          <w:szCs w:val="22"/>
        </w:rPr>
        <w:t>y. įteisinti bendrinę pakuotę). Remdamiesi žemiau pateiktais argumentais</w:t>
      </w:r>
      <w:r w:rsidR="00BA7147" w:rsidRPr="00A40B6E">
        <w:rPr>
          <w:rFonts w:asciiTheme="majorHAnsi" w:hAnsiTheme="majorHAnsi" w:cstheme="majorHAnsi"/>
          <w:color w:val="000000"/>
          <w:sz w:val="22"/>
          <w:szCs w:val="22"/>
        </w:rPr>
        <w:t>,</w:t>
      </w:r>
      <w:r w:rsidRPr="00A40B6E">
        <w:rPr>
          <w:rFonts w:asciiTheme="majorHAnsi" w:hAnsiTheme="majorHAnsi" w:cstheme="majorHAnsi"/>
          <w:color w:val="000000"/>
          <w:sz w:val="22"/>
          <w:szCs w:val="22"/>
        </w:rPr>
        <w:t xml:space="preserve"> manome, kad šis reguliavimas yra neproporcingas, iššauks įvairias neigiamas pasekmes, prieštaraujančios tiek LRSAM siekiams, tiek Lietuvos Respublikos Konstitucijai, tiek Europos Žmogaus teisių ir pagrindinių laisvių apsaugos konvencijai:</w:t>
      </w:r>
    </w:p>
    <w:p w14:paraId="37F7730E" w14:textId="60AA434C" w:rsidR="003213B1" w:rsidRPr="00A40B6E" w:rsidRDefault="003213B1" w:rsidP="003213B1">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heme="majorHAnsi" w:eastAsia="Times New Roman" w:hAnsiTheme="majorHAnsi" w:cstheme="majorHAnsi"/>
          <w:b/>
          <w:bCs/>
        </w:rPr>
      </w:pPr>
      <w:r w:rsidRPr="00A40B6E">
        <w:rPr>
          <w:rFonts w:asciiTheme="majorHAnsi" w:eastAsia="Times New Roman" w:hAnsiTheme="majorHAnsi" w:cstheme="majorHAnsi"/>
          <w:b/>
          <w:bCs/>
        </w:rPr>
        <w:t>Apsunkint</w:t>
      </w:r>
      <w:r w:rsidR="00BA7147" w:rsidRPr="00A40B6E">
        <w:rPr>
          <w:rFonts w:asciiTheme="majorHAnsi" w:eastAsia="Times New Roman" w:hAnsiTheme="majorHAnsi" w:cstheme="majorHAnsi"/>
          <w:b/>
          <w:bCs/>
        </w:rPr>
        <w:t>ų</w:t>
      </w:r>
      <w:r w:rsidRPr="00A40B6E">
        <w:rPr>
          <w:rFonts w:asciiTheme="majorHAnsi" w:eastAsia="Times New Roman" w:hAnsiTheme="majorHAnsi" w:cstheme="majorHAnsi"/>
          <w:b/>
          <w:bCs/>
        </w:rPr>
        <w:t xml:space="preserve"> vartotojo pasirinkimą. </w:t>
      </w:r>
      <w:r w:rsidRPr="00A40B6E">
        <w:rPr>
          <w:rFonts w:asciiTheme="majorHAnsi" w:eastAsia="Times New Roman" w:hAnsiTheme="majorHAnsi" w:cstheme="majorHAnsi"/>
        </w:rPr>
        <w:t>Pakelio dizainas,</w:t>
      </w:r>
      <w:r w:rsidR="00E10887" w:rsidRPr="00A40B6E">
        <w:rPr>
          <w:rFonts w:asciiTheme="majorHAnsi" w:eastAsia="Times New Roman" w:hAnsiTheme="majorHAnsi" w:cstheme="majorHAnsi"/>
        </w:rPr>
        <w:t xml:space="preserve"> šriftas ir spalvos yra vieni iš</w:t>
      </w:r>
      <w:r w:rsidRPr="00A40B6E">
        <w:rPr>
          <w:rFonts w:asciiTheme="majorHAnsi" w:eastAsia="Times New Roman" w:hAnsiTheme="majorHAnsi" w:cstheme="majorHAnsi"/>
        </w:rPr>
        <w:t xml:space="preserve"> bruožų, kuriais vartotojas atpažįsta savo vartojamas cigaretes. Uždraudus naudoti atpažįstamą dizainą, šriftą ir spalvas, vartotojas gali ilgiau sugaišti parduotuvėje, rinkdamasis savo vartojamas cigaretes.</w:t>
      </w:r>
    </w:p>
    <w:p w14:paraId="64EDC709" w14:textId="777C5C05" w:rsidR="003213B1" w:rsidRPr="00A40B6E" w:rsidRDefault="003213B1" w:rsidP="003213B1">
      <w:pPr>
        <w:pStyle w:val="ListParagraph"/>
        <w:numPr>
          <w:ilvl w:val="0"/>
          <w:numId w:val="9"/>
        </w:numPr>
        <w:rPr>
          <w:rFonts w:asciiTheme="majorHAnsi" w:hAnsiTheme="majorHAnsi" w:cstheme="majorHAnsi"/>
        </w:rPr>
      </w:pPr>
      <w:r w:rsidRPr="00A40B6E">
        <w:rPr>
          <w:rFonts w:asciiTheme="majorHAnsi" w:eastAsia="Times New Roman" w:hAnsiTheme="majorHAnsi" w:cstheme="majorHAnsi"/>
          <w:b/>
          <w:bCs/>
          <w:noProof w:val="0"/>
          <w:color w:val="000000"/>
          <w:lang w:eastAsia="lt-LT"/>
        </w:rPr>
        <w:t>Sukurtų precedentą uždrausti ir kitų prekių pakuočių dizainą ar logotipus.</w:t>
      </w:r>
      <w:r w:rsidRPr="00A40B6E">
        <w:rPr>
          <w:rFonts w:asciiTheme="majorHAnsi" w:eastAsia="Times New Roman" w:hAnsiTheme="majorHAnsi" w:cstheme="majorHAnsi"/>
          <w:noProof w:val="0"/>
          <w:color w:val="000000"/>
          <w:lang w:eastAsia="lt-LT"/>
        </w:rPr>
        <w:t xml:space="preserve"> Rinkoje egzistuoja ir daugiau produktų, kurių, įstatymo leidėjo nuomone, reikėtų vartoti mažiau: nuo skalbimo miltelių iki sūraus ar saldaus maisto. Visos šios prekės veikia diferencijuotų produktų rinkoje, kur logotipas, pakuotė yra svarbi prekės dalis (prekės yra artimi pakaitalai, todėl gamintojai iš konkurentų stengiasi išsiskirti ne tik produkto savybėmis, bet ir pakuote, prekiniu ženklu ir t.t.). Uždraudus tabako gaminių pakuočių logotipus ir dizainą</w:t>
      </w:r>
      <w:r w:rsidR="00BA7147" w:rsidRPr="00A40B6E">
        <w:rPr>
          <w:rFonts w:asciiTheme="majorHAnsi" w:eastAsia="Times New Roman" w:hAnsiTheme="majorHAnsi" w:cstheme="majorHAnsi"/>
          <w:noProof w:val="0"/>
          <w:color w:val="000000"/>
          <w:lang w:eastAsia="lt-LT"/>
        </w:rPr>
        <w:t>,</w:t>
      </w:r>
      <w:r w:rsidRPr="00A40B6E">
        <w:rPr>
          <w:rFonts w:asciiTheme="majorHAnsi" w:eastAsia="Times New Roman" w:hAnsiTheme="majorHAnsi" w:cstheme="majorHAnsi"/>
          <w:noProof w:val="0"/>
          <w:color w:val="000000"/>
          <w:lang w:eastAsia="lt-LT"/>
        </w:rPr>
        <w:t xml:space="preserve"> būtų sukuriamos prielaidos drausti ir kitų prekių pakuočių dizainą,</w:t>
      </w:r>
      <w:r w:rsidR="00BA7147" w:rsidRPr="00A40B6E">
        <w:rPr>
          <w:rFonts w:asciiTheme="majorHAnsi" w:eastAsia="Times New Roman" w:hAnsiTheme="majorHAnsi" w:cstheme="majorHAnsi"/>
          <w:noProof w:val="0"/>
          <w:color w:val="000000"/>
          <w:lang w:eastAsia="lt-LT"/>
        </w:rPr>
        <w:t xml:space="preserve"> o tai turėtų </w:t>
      </w:r>
      <w:r w:rsidRPr="00A40B6E">
        <w:rPr>
          <w:rFonts w:asciiTheme="majorHAnsi" w:eastAsia="Times New Roman" w:hAnsiTheme="majorHAnsi" w:cstheme="majorHAnsi"/>
          <w:noProof w:val="0"/>
          <w:color w:val="000000"/>
          <w:lang w:eastAsia="lt-LT"/>
        </w:rPr>
        <w:t>neigiam</w:t>
      </w:r>
      <w:r w:rsidR="00BA7147" w:rsidRPr="00A40B6E">
        <w:rPr>
          <w:rFonts w:asciiTheme="majorHAnsi" w:eastAsia="Times New Roman" w:hAnsiTheme="majorHAnsi" w:cstheme="majorHAnsi"/>
          <w:noProof w:val="0"/>
          <w:color w:val="000000"/>
          <w:lang w:eastAsia="lt-LT"/>
        </w:rPr>
        <w:t>ų pasekm</w:t>
      </w:r>
      <w:r w:rsidRPr="00A40B6E">
        <w:rPr>
          <w:rFonts w:asciiTheme="majorHAnsi" w:eastAsia="Times New Roman" w:hAnsiTheme="majorHAnsi" w:cstheme="majorHAnsi"/>
          <w:noProof w:val="0"/>
          <w:color w:val="000000"/>
          <w:lang w:eastAsia="lt-LT"/>
        </w:rPr>
        <w:t>i</w:t>
      </w:r>
      <w:r w:rsidR="00BA7147" w:rsidRPr="00A40B6E">
        <w:rPr>
          <w:rFonts w:asciiTheme="majorHAnsi" w:eastAsia="Times New Roman" w:hAnsiTheme="majorHAnsi" w:cstheme="majorHAnsi"/>
          <w:noProof w:val="0"/>
          <w:color w:val="000000"/>
          <w:lang w:eastAsia="lt-LT"/>
        </w:rPr>
        <w:t>ų</w:t>
      </w:r>
      <w:r w:rsidRPr="00A40B6E">
        <w:rPr>
          <w:rFonts w:asciiTheme="majorHAnsi" w:eastAsia="Times New Roman" w:hAnsiTheme="majorHAnsi" w:cstheme="majorHAnsi"/>
          <w:noProof w:val="0"/>
          <w:color w:val="000000"/>
          <w:lang w:eastAsia="lt-LT"/>
        </w:rPr>
        <w:t>.</w:t>
      </w:r>
    </w:p>
    <w:p w14:paraId="03ED9DB2" w14:textId="1DAA4F0B" w:rsidR="00305F79" w:rsidRPr="00A40B6E" w:rsidRDefault="003213B1" w:rsidP="00305F79">
      <w:pPr>
        <w:pStyle w:val="ListParagraph"/>
        <w:numPr>
          <w:ilvl w:val="0"/>
          <w:numId w:val="9"/>
        </w:numPr>
        <w:rPr>
          <w:rFonts w:asciiTheme="majorHAnsi" w:hAnsiTheme="majorHAnsi" w:cstheme="majorHAnsi"/>
        </w:rPr>
      </w:pPr>
      <w:r w:rsidRPr="00A40B6E">
        <w:rPr>
          <w:rFonts w:asciiTheme="majorHAnsi" w:hAnsiTheme="majorHAnsi" w:cstheme="majorHAnsi"/>
          <w:b/>
          <w:bCs/>
          <w:color w:val="000000"/>
        </w:rPr>
        <w:t>Pažeistų teisę į intelektinę nuosavybę ir pagarbos asmens teisėms ir laisvė</w:t>
      </w:r>
      <w:r w:rsidR="00D35668" w:rsidRPr="00A40B6E">
        <w:rPr>
          <w:rFonts w:asciiTheme="majorHAnsi" w:hAnsiTheme="majorHAnsi" w:cstheme="majorHAnsi"/>
          <w:b/>
          <w:bCs/>
          <w:color w:val="000000"/>
        </w:rPr>
        <w:t>m</w:t>
      </w:r>
      <w:r w:rsidRPr="00A40B6E">
        <w:rPr>
          <w:rFonts w:asciiTheme="majorHAnsi" w:hAnsiTheme="majorHAnsi" w:cstheme="majorHAnsi"/>
          <w:b/>
          <w:bCs/>
          <w:color w:val="000000"/>
        </w:rPr>
        <w:t>s principą</w:t>
      </w:r>
      <w:r w:rsidR="007E5FB2" w:rsidRPr="00A40B6E">
        <w:rPr>
          <w:rStyle w:val="FootnoteReference"/>
          <w:rFonts w:asciiTheme="majorHAnsi" w:hAnsiTheme="majorHAnsi" w:cstheme="majorHAnsi"/>
          <w:b/>
          <w:bCs/>
          <w:color w:val="000000"/>
        </w:rPr>
        <w:footnoteReference w:id="3"/>
      </w:r>
      <w:r w:rsidR="00A805E2" w:rsidRPr="00A40B6E">
        <w:rPr>
          <w:rFonts w:asciiTheme="majorHAnsi" w:hAnsiTheme="majorHAnsi" w:cstheme="majorHAnsi"/>
          <w:color w:val="000000"/>
        </w:rPr>
        <w:t>.</w:t>
      </w:r>
      <w:r w:rsidR="00A805E2" w:rsidRPr="00A40B6E">
        <w:rPr>
          <w:rFonts w:asciiTheme="majorHAnsi" w:hAnsiTheme="majorHAnsi" w:cstheme="majorHAnsi"/>
          <w:b/>
          <w:bCs/>
          <w:color w:val="000000"/>
        </w:rPr>
        <w:t xml:space="preserve"> </w:t>
      </w:r>
      <w:r w:rsidRPr="00A40B6E">
        <w:rPr>
          <w:rFonts w:asciiTheme="majorHAnsi" w:hAnsiTheme="majorHAnsi" w:cstheme="majorHAnsi"/>
          <w:color w:val="000000"/>
        </w:rPr>
        <w:t>Diferencijuotų produktų rinkoje prekės ženklas, logotipas ne tik padeda pirkėjui atskirti prekės kilmę, bet ir yra neatsiejama produkto dalis</w:t>
      </w:r>
      <w:r w:rsidR="00E10887" w:rsidRPr="00A40B6E">
        <w:rPr>
          <w:rFonts w:asciiTheme="majorHAnsi" w:hAnsiTheme="majorHAnsi" w:cstheme="majorHAnsi"/>
          <w:color w:val="000000"/>
        </w:rPr>
        <w:t>.</w:t>
      </w:r>
      <w:r w:rsidRPr="00A40B6E">
        <w:rPr>
          <w:rFonts w:asciiTheme="majorHAnsi" w:hAnsiTheme="majorHAnsi" w:cstheme="majorHAnsi"/>
          <w:color w:val="000000"/>
        </w:rPr>
        <w:t xml:space="preserve"> Prekinis ženklas susideda ne tik iš pavadinimo, bet ir iš šrifto, spalvų ir kitų dizaino elementų. Dėl </w:t>
      </w:r>
      <w:r w:rsidR="00D35668" w:rsidRPr="00A40B6E">
        <w:rPr>
          <w:rFonts w:asciiTheme="majorHAnsi" w:hAnsiTheme="majorHAnsi" w:cstheme="majorHAnsi"/>
          <w:color w:val="000000"/>
        </w:rPr>
        <w:t>investicijų</w:t>
      </w:r>
      <w:r w:rsidRPr="00A40B6E">
        <w:rPr>
          <w:rFonts w:asciiTheme="majorHAnsi" w:hAnsiTheme="majorHAnsi" w:cstheme="majorHAnsi"/>
          <w:color w:val="000000"/>
        </w:rPr>
        <w:t xml:space="preserve"> prekiniai ženklai yra vertinga įmonių nuosavybė</w:t>
      </w:r>
      <w:r w:rsidR="00690E45" w:rsidRPr="00A40B6E">
        <w:rPr>
          <w:rFonts w:asciiTheme="majorHAnsi" w:hAnsiTheme="majorHAnsi" w:cstheme="majorHAnsi"/>
          <w:color w:val="000000"/>
        </w:rPr>
        <w:t>. T</w:t>
      </w:r>
      <w:r w:rsidR="003F6C47" w:rsidRPr="00A40B6E">
        <w:rPr>
          <w:rFonts w:asciiTheme="majorHAnsi" w:hAnsiTheme="majorHAnsi" w:cstheme="majorHAnsi"/>
          <w:color w:val="000000"/>
        </w:rPr>
        <w:t>ai</w:t>
      </w:r>
      <w:r w:rsidRPr="00A40B6E">
        <w:rPr>
          <w:rFonts w:asciiTheme="majorHAnsi" w:hAnsiTheme="majorHAnsi" w:cstheme="majorHAnsi"/>
          <w:color w:val="000000"/>
        </w:rPr>
        <w:t xml:space="preserve">, beje, pripažįsta ir LR teisės aktai (pvz., Prekių ženklų įstatymas), </w:t>
      </w:r>
      <w:r w:rsidRPr="00A40B6E">
        <w:rPr>
          <w:rFonts w:asciiTheme="majorHAnsi" w:hAnsiTheme="majorHAnsi" w:cstheme="majorHAnsi"/>
          <w:i/>
          <w:iCs/>
          <w:color w:val="000000"/>
        </w:rPr>
        <w:t xml:space="preserve">inter alia </w:t>
      </w:r>
      <w:r w:rsidRPr="00A40B6E">
        <w:rPr>
          <w:rFonts w:asciiTheme="majorHAnsi" w:hAnsiTheme="majorHAnsi" w:cstheme="majorHAnsi"/>
          <w:color w:val="000000"/>
        </w:rPr>
        <w:t xml:space="preserve">draudžiantys prekinį ženklą </w:t>
      </w:r>
      <w:r w:rsidRPr="00A40B6E">
        <w:rPr>
          <w:rFonts w:asciiTheme="majorHAnsi" w:hAnsiTheme="majorHAnsi" w:cstheme="majorHAnsi"/>
          <w:color w:val="000000"/>
        </w:rPr>
        <w:lastRenderedPageBreak/>
        <w:t xml:space="preserve">naudoti tiems, kam </w:t>
      </w:r>
      <w:r w:rsidR="003F6C47" w:rsidRPr="00A40B6E">
        <w:rPr>
          <w:rFonts w:asciiTheme="majorHAnsi" w:hAnsiTheme="majorHAnsi" w:cstheme="majorHAnsi"/>
          <w:color w:val="000000"/>
        </w:rPr>
        <w:t>jis</w:t>
      </w:r>
      <w:r w:rsidRPr="00A40B6E">
        <w:rPr>
          <w:rFonts w:asciiTheme="majorHAnsi" w:hAnsiTheme="majorHAnsi" w:cstheme="majorHAnsi"/>
          <w:color w:val="000000"/>
        </w:rPr>
        <w:t xml:space="preserve"> nepriklauso. Draudimas</w:t>
      </w:r>
      <w:r w:rsidR="007E5FB2" w:rsidRPr="00A40B6E">
        <w:rPr>
          <w:rStyle w:val="FootnoteReference"/>
          <w:rFonts w:asciiTheme="majorHAnsi" w:hAnsiTheme="majorHAnsi" w:cstheme="majorHAnsi"/>
          <w:color w:val="000000"/>
        </w:rPr>
        <w:footnoteReference w:id="4"/>
      </w:r>
      <w:r w:rsidR="00A805E2" w:rsidRPr="00A40B6E">
        <w:rPr>
          <w:rFonts w:asciiTheme="majorHAnsi" w:hAnsiTheme="majorHAnsi" w:cstheme="majorHAnsi"/>
          <w:color w:val="000000"/>
        </w:rPr>
        <w:t xml:space="preserve"> </w:t>
      </w:r>
      <w:r w:rsidRPr="00A40B6E">
        <w:rPr>
          <w:rFonts w:asciiTheme="majorHAnsi" w:hAnsiTheme="majorHAnsi" w:cstheme="majorHAnsi"/>
          <w:color w:val="000000"/>
        </w:rPr>
        <w:t>naudoti prekinį ženklą ant savo produktų pakuotės pažeidžia įmonių nuosavybės teises, nes nuosavybės teisės apima valdymą, disponavimą ir naudojimą ir/ar naudos gavimą, t.</w:t>
      </w:r>
      <w:r w:rsidR="00CF0821" w:rsidRPr="00A40B6E">
        <w:rPr>
          <w:rFonts w:asciiTheme="majorHAnsi" w:hAnsiTheme="majorHAnsi" w:cstheme="majorHAnsi"/>
          <w:color w:val="000000"/>
        </w:rPr>
        <w:t xml:space="preserve"> </w:t>
      </w:r>
      <w:r w:rsidRPr="00A40B6E">
        <w:rPr>
          <w:rFonts w:asciiTheme="majorHAnsi" w:hAnsiTheme="majorHAnsi" w:cstheme="majorHAnsi"/>
          <w:color w:val="000000"/>
        </w:rPr>
        <w:t>y. būtent tai, ką šis Projektas ir draustų.</w:t>
      </w:r>
    </w:p>
    <w:p w14:paraId="1CF550C6" w14:textId="3217BCF9" w:rsidR="00C502A5" w:rsidRPr="00A40B6E" w:rsidRDefault="00305F79" w:rsidP="00305F79">
      <w:pPr>
        <w:pStyle w:val="ListParagraph"/>
        <w:numPr>
          <w:ilvl w:val="0"/>
          <w:numId w:val="9"/>
        </w:numPr>
        <w:rPr>
          <w:rFonts w:asciiTheme="majorHAnsi" w:hAnsiTheme="majorHAnsi" w:cstheme="majorHAnsi"/>
        </w:rPr>
      </w:pPr>
      <w:r w:rsidRPr="00A40B6E">
        <w:rPr>
          <w:rFonts w:asciiTheme="majorHAnsi" w:hAnsiTheme="majorHAnsi" w:cstheme="majorHAnsi"/>
          <w:b/>
          <w:bCs/>
          <w:color w:val="000000"/>
        </w:rPr>
        <w:t xml:space="preserve">Draudimas yra neproporcingas, nepagrįstas ir neįrodytas. </w:t>
      </w:r>
      <w:r w:rsidRPr="00A40B6E">
        <w:rPr>
          <w:rFonts w:asciiTheme="majorHAnsi" w:hAnsiTheme="majorHAnsi" w:cstheme="majorHAnsi"/>
          <w:color w:val="000000"/>
        </w:rPr>
        <w:t>LR teisės aktai saugo privačią nuos</w:t>
      </w:r>
      <w:r w:rsidR="00CF0821" w:rsidRPr="00A40B6E">
        <w:rPr>
          <w:rFonts w:asciiTheme="majorHAnsi" w:hAnsiTheme="majorHAnsi" w:cstheme="majorHAnsi"/>
          <w:color w:val="000000"/>
        </w:rPr>
        <w:t>avybę visa naudojimosi apimtimi;</w:t>
      </w:r>
      <w:r w:rsidRPr="00A40B6E">
        <w:rPr>
          <w:rFonts w:asciiTheme="majorHAnsi" w:hAnsiTheme="majorHAnsi" w:cstheme="majorHAnsi"/>
          <w:color w:val="000000"/>
        </w:rPr>
        <w:t xml:space="preserve"> tai yra apibrėžta LR Konstitucijos 23 ir 46 straipsniais. Savaime suprantama</w:t>
      </w:r>
      <w:r w:rsidR="00CF0821" w:rsidRPr="00A40B6E">
        <w:rPr>
          <w:rFonts w:asciiTheme="majorHAnsi" w:hAnsiTheme="majorHAnsi" w:cstheme="majorHAnsi"/>
          <w:color w:val="000000"/>
        </w:rPr>
        <w:t>,</w:t>
      </w:r>
      <w:r w:rsidRPr="00A40B6E">
        <w:rPr>
          <w:rFonts w:asciiTheme="majorHAnsi" w:hAnsiTheme="majorHAnsi" w:cstheme="majorHAnsi"/>
          <w:color w:val="000000"/>
        </w:rPr>
        <w:t xml:space="preserve"> LR teisės aktai numato galimybę apriboti nuosavybės teisę, tačiau tik tokias atvejais, k</w:t>
      </w:r>
      <w:r w:rsidR="00CF0821" w:rsidRPr="00A40B6E">
        <w:rPr>
          <w:rFonts w:asciiTheme="majorHAnsi" w:hAnsiTheme="majorHAnsi" w:cstheme="majorHAnsi"/>
          <w:color w:val="000000"/>
        </w:rPr>
        <w:t>ai</w:t>
      </w:r>
      <w:r w:rsidRPr="00A40B6E">
        <w:rPr>
          <w:rFonts w:asciiTheme="majorHAnsi" w:hAnsiTheme="majorHAnsi" w:cstheme="majorHAnsi"/>
          <w:color w:val="000000"/>
        </w:rPr>
        <w:t xml:space="preserve"> tai yra būtina visuotinai pripažįstamiems visuomenės gerovės tikslams pasiekti, k</w:t>
      </w:r>
      <w:r w:rsidR="00CF0821" w:rsidRPr="00A40B6E">
        <w:rPr>
          <w:rFonts w:asciiTheme="majorHAnsi" w:hAnsiTheme="majorHAnsi" w:cstheme="majorHAnsi"/>
          <w:color w:val="000000"/>
        </w:rPr>
        <w:t xml:space="preserve">ai </w:t>
      </w:r>
      <w:r w:rsidRPr="00A40B6E">
        <w:rPr>
          <w:rFonts w:asciiTheme="majorHAnsi" w:hAnsiTheme="majorHAnsi" w:cstheme="majorHAnsi"/>
          <w:color w:val="000000"/>
        </w:rPr>
        <w:t>įrodoma, kad kitos, mažiau intervencinės priemonės yra neveiksmingos. LLRI vertinimu</w:t>
      </w:r>
      <w:r w:rsidR="00CF0821" w:rsidRPr="00A40B6E">
        <w:rPr>
          <w:rFonts w:asciiTheme="majorHAnsi" w:hAnsiTheme="majorHAnsi" w:cstheme="majorHAnsi"/>
          <w:color w:val="000000"/>
        </w:rPr>
        <w:t>,</w:t>
      </w:r>
      <w:r w:rsidRPr="00A40B6E">
        <w:rPr>
          <w:rFonts w:asciiTheme="majorHAnsi" w:hAnsiTheme="majorHAnsi" w:cstheme="majorHAnsi"/>
          <w:color w:val="000000"/>
        </w:rPr>
        <w:t xml:space="preserve"> Projektas neįrodo, kad draudimas ant cigarečių pakelių spausdinti prekinį ženklą, logotipus, spalvas ir kitus dizaino elementus yra būtina, efektyvi</w:t>
      </w:r>
      <w:r w:rsidRPr="00A40B6E">
        <w:rPr>
          <w:rStyle w:val="FootnoteReference"/>
          <w:rFonts w:asciiTheme="majorHAnsi" w:hAnsiTheme="majorHAnsi" w:cstheme="majorHAnsi"/>
          <w:color w:val="000000"/>
        </w:rPr>
        <w:footnoteReference w:id="5"/>
      </w:r>
      <w:r w:rsidRPr="00A40B6E">
        <w:rPr>
          <w:rFonts w:asciiTheme="majorHAnsi" w:hAnsiTheme="majorHAnsi" w:cstheme="majorHAnsi"/>
        </w:rPr>
        <w:t xml:space="preserve"> </w:t>
      </w:r>
      <w:r w:rsidRPr="00A40B6E">
        <w:rPr>
          <w:rFonts w:asciiTheme="majorHAnsi" w:hAnsiTheme="majorHAnsi" w:cstheme="majorHAnsi"/>
          <w:color w:val="000000"/>
        </w:rPr>
        <w:t>ar proporcinga priemonė. Projekto lydimieji dokumentai nepagrindžia</w:t>
      </w:r>
      <w:r w:rsidR="00CF0821" w:rsidRPr="00A40B6E">
        <w:rPr>
          <w:rFonts w:asciiTheme="majorHAnsi" w:hAnsiTheme="majorHAnsi" w:cstheme="majorHAnsi"/>
          <w:color w:val="000000"/>
        </w:rPr>
        <w:t xml:space="preserve"> prielaidų</w:t>
      </w:r>
      <w:r w:rsidRPr="00A40B6E">
        <w:rPr>
          <w:rFonts w:asciiTheme="majorHAnsi" w:hAnsiTheme="majorHAnsi" w:cstheme="majorHAnsi"/>
          <w:color w:val="000000"/>
        </w:rPr>
        <w:t>,</w:t>
      </w:r>
      <w:r w:rsidR="00CF0821" w:rsidRPr="00A40B6E">
        <w:rPr>
          <w:rFonts w:asciiTheme="majorHAnsi" w:hAnsiTheme="majorHAnsi" w:cstheme="majorHAnsi"/>
          <w:color w:val="000000"/>
        </w:rPr>
        <w:t xml:space="preserve"> kad</w:t>
      </w:r>
      <w:r w:rsidRPr="00A40B6E">
        <w:rPr>
          <w:rFonts w:asciiTheme="majorHAnsi" w:hAnsiTheme="majorHAnsi" w:cstheme="majorHAnsi"/>
          <w:color w:val="000000"/>
        </w:rPr>
        <w:t xml:space="preserve"> panašaus poveikio nebūtų galima pasiekti mažiau nuosavybės teises ribojančiomis priemonėmis.</w:t>
      </w:r>
    </w:p>
    <w:p w14:paraId="68803EA0" w14:textId="4FDF87C4" w:rsidR="00C45B35" w:rsidRPr="00A40B6E" w:rsidRDefault="00A805E2" w:rsidP="00C45B35">
      <w:pPr>
        <w:pStyle w:val="ListParagraph"/>
        <w:numPr>
          <w:ilvl w:val="1"/>
          <w:numId w:val="25"/>
        </w:numPr>
        <w:rPr>
          <w:rFonts w:asciiTheme="majorHAnsi" w:hAnsiTheme="majorHAnsi" w:cstheme="majorHAnsi"/>
          <w:sz w:val="23"/>
          <w:szCs w:val="23"/>
        </w:rPr>
      </w:pPr>
      <w:r w:rsidRPr="00A40B6E">
        <w:rPr>
          <w:rFonts w:asciiTheme="majorHAnsi" w:hAnsiTheme="majorHAnsi" w:cstheme="majorHAnsi"/>
          <w:b/>
          <w:bCs/>
          <w:color w:val="000000"/>
        </w:rPr>
        <w:t xml:space="preserve">Siūlomą draudimą taiko tik keletas </w:t>
      </w:r>
      <w:r w:rsidR="00E75C32" w:rsidRPr="00A40B6E">
        <w:rPr>
          <w:rFonts w:asciiTheme="majorHAnsi" w:hAnsiTheme="majorHAnsi" w:cstheme="majorHAnsi"/>
          <w:b/>
          <w:bCs/>
          <w:color w:val="000000"/>
        </w:rPr>
        <w:t xml:space="preserve">pasaulio </w:t>
      </w:r>
      <w:r w:rsidRPr="00A40B6E">
        <w:rPr>
          <w:rFonts w:asciiTheme="majorHAnsi" w:hAnsiTheme="majorHAnsi" w:cstheme="majorHAnsi"/>
          <w:b/>
          <w:bCs/>
          <w:color w:val="000000"/>
        </w:rPr>
        <w:t xml:space="preserve">šalių. </w:t>
      </w:r>
      <w:r w:rsidRPr="00A40B6E">
        <w:rPr>
          <w:rFonts w:asciiTheme="majorHAnsi" w:hAnsiTheme="majorHAnsi" w:cstheme="majorHAnsi"/>
          <w:color w:val="000000"/>
        </w:rPr>
        <w:t>Aiškinamajame rašte pažymėta, kad bendrinės pakuotės reguliavimas yra priimtas Australijoje, Naujo</w:t>
      </w:r>
      <w:r w:rsidR="00CF0821" w:rsidRPr="00A40B6E">
        <w:rPr>
          <w:rFonts w:asciiTheme="majorHAnsi" w:hAnsiTheme="majorHAnsi" w:cstheme="majorHAnsi"/>
          <w:color w:val="000000"/>
        </w:rPr>
        <w:t>jo</w:t>
      </w:r>
      <w:r w:rsidRPr="00A40B6E">
        <w:rPr>
          <w:rFonts w:asciiTheme="majorHAnsi" w:hAnsiTheme="majorHAnsi" w:cstheme="majorHAnsi"/>
          <w:color w:val="000000"/>
        </w:rPr>
        <w:t xml:space="preserve">je Zelandijoje, Jungtinėje Karalystėje, Airijoje, Prancūzijoje, Norvegijoje, Vengrijoje, Slovėnijoje. Tačiau dar daugiau pasaulio šalių, </w:t>
      </w:r>
      <w:r w:rsidR="00C45B35" w:rsidRPr="00A40B6E">
        <w:rPr>
          <w:rFonts w:asciiTheme="majorHAnsi" w:hAnsiTheme="majorHAnsi" w:cstheme="majorHAnsi"/>
          <w:color w:val="000000"/>
        </w:rPr>
        <w:t xml:space="preserve">tarp jų </w:t>
      </w:r>
      <w:r w:rsidRPr="00A40B6E">
        <w:rPr>
          <w:rFonts w:asciiTheme="majorHAnsi" w:hAnsiTheme="majorHAnsi" w:cstheme="majorHAnsi"/>
          <w:color w:val="000000"/>
        </w:rPr>
        <w:t>pasižyminči</w:t>
      </w:r>
      <w:r w:rsidR="00C45B35" w:rsidRPr="00A40B6E">
        <w:rPr>
          <w:rFonts w:asciiTheme="majorHAnsi" w:hAnsiTheme="majorHAnsi" w:cstheme="majorHAnsi"/>
          <w:color w:val="000000"/>
        </w:rPr>
        <w:t>os</w:t>
      </w:r>
      <w:r w:rsidRPr="00A40B6E">
        <w:rPr>
          <w:rFonts w:asciiTheme="majorHAnsi" w:hAnsiTheme="majorHAnsi" w:cstheme="majorHAnsi"/>
          <w:color w:val="000000"/>
        </w:rPr>
        <w:t xml:space="preserve"> stipriomis visuomenės sveikatos iniciatyvomis ir </w:t>
      </w:r>
      <w:r w:rsidR="00E75C32" w:rsidRPr="00A40B6E">
        <w:rPr>
          <w:rFonts w:asciiTheme="majorHAnsi" w:hAnsiTheme="majorHAnsi" w:cstheme="majorHAnsi"/>
          <w:color w:val="000000"/>
        </w:rPr>
        <w:t xml:space="preserve">skiriančios </w:t>
      </w:r>
      <w:r w:rsidRPr="00A40B6E">
        <w:rPr>
          <w:rFonts w:asciiTheme="majorHAnsi" w:hAnsiTheme="majorHAnsi" w:cstheme="majorHAnsi"/>
          <w:color w:val="000000"/>
        </w:rPr>
        <w:t>didelį dėmesį sveikatingumo iniciatyvoms (Vokietija, Švedija</w:t>
      </w:r>
      <w:r w:rsidR="00524E52" w:rsidRPr="00A40B6E">
        <w:rPr>
          <w:rStyle w:val="FootnoteReference"/>
          <w:rFonts w:asciiTheme="majorHAnsi" w:hAnsiTheme="majorHAnsi" w:cstheme="majorHAnsi"/>
          <w:color w:val="000000"/>
        </w:rPr>
        <w:footnoteReference w:id="6"/>
      </w:r>
      <w:r w:rsidRPr="00A40B6E">
        <w:rPr>
          <w:rFonts w:asciiTheme="majorHAnsi" w:hAnsiTheme="majorHAnsi" w:cstheme="majorHAnsi"/>
          <w:color w:val="000000"/>
        </w:rPr>
        <w:t>, Danija</w:t>
      </w:r>
      <w:r w:rsidR="003509BB" w:rsidRPr="00A40B6E">
        <w:rPr>
          <w:rStyle w:val="FootnoteReference"/>
          <w:rFonts w:asciiTheme="majorHAnsi" w:hAnsiTheme="majorHAnsi" w:cstheme="majorHAnsi"/>
          <w:color w:val="000000"/>
        </w:rPr>
        <w:footnoteReference w:id="7"/>
      </w:r>
      <w:r w:rsidRPr="00A40B6E">
        <w:rPr>
          <w:rFonts w:asciiTheme="majorHAnsi" w:hAnsiTheme="majorHAnsi" w:cstheme="majorHAnsi"/>
          <w:color w:val="000000"/>
        </w:rPr>
        <w:t>, Šveicarija</w:t>
      </w:r>
      <w:r w:rsidR="003509BB" w:rsidRPr="00A40B6E">
        <w:rPr>
          <w:rStyle w:val="FootnoteReference"/>
          <w:rFonts w:asciiTheme="majorHAnsi" w:hAnsiTheme="majorHAnsi" w:cstheme="majorHAnsi"/>
          <w:color w:val="000000"/>
        </w:rPr>
        <w:footnoteReference w:id="8"/>
      </w:r>
      <w:r w:rsidR="00C45B35" w:rsidRPr="00A40B6E">
        <w:rPr>
          <w:rFonts w:asciiTheme="majorHAnsi" w:hAnsiTheme="majorHAnsi" w:cstheme="majorHAnsi"/>
          <w:color w:val="000000"/>
        </w:rPr>
        <w:t>, Belgija</w:t>
      </w:r>
      <w:r w:rsidR="00C45B35" w:rsidRPr="00A40B6E">
        <w:rPr>
          <w:rStyle w:val="FootnoteReference"/>
          <w:rFonts w:asciiTheme="majorHAnsi" w:hAnsiTheme="majorHAnsi" w:cstheme="majorHAnsi"/>
          <w:color w:val="000000"/>
        </w:rPr>
        <w:footnoteReference w:id="9"/>
      </w:r>
      <w:r w:rsidR="00C45B35" w:rsidRPr="00A40B6E">
        <w:rPr>
          <w:rFonts w:asciiTheme="majorHAnsi" w:hAnsiTheme="majorHAnsi" w:cstheme="majorHAnsi"/>
          <w:color w:val="000000"/>
        </w:rPr>
        <w:t>, Italija, Ispanija, Portugalija, Graikija ir Bulgarija</w:t>
      </w:r>
      <w:r w:rsidRPr="00A40B6E">
        <w:rPr>
          <w:rFonts w:asciiTheme="majorHAnsi" w:hAnsiTheme="majorHAnsi" w:cstheme="majorHAnsi"/>
          <w:color w:val="000000"/>
        </w:rPr>
        <w:t>), bendrinės pakuotės įv</w:t>
      </w:r>
      <w:r w:rsidR="00C45B35" w:rsidRPr="00A40B6E">
        <w:rPr>
          <w:rFonts w:asciiTheme="majorHAnsi" w:hAnsiTheme="majorHAnsi" w:cstheme="majorHAnsi"/>
          <w:color w:val="000000"/>
        </w:rPr>
        <w:t>edimą arba atmetė</w:t>
      </w:r>
      <w:r w:rsidR="00E75C32" w:rsidRPr="00A40B6E">
        <w:rPr>
          <w:rFonts w:asciiTheme="majorHAnsi" w:hAnsiTheme="majorHAnsi" w:cstheme="majorHAnsi"/>
          <w:color w:val="000000"/>
        </w:rPr>
        <w:t>,</w:t>
      </w:r>
      <w:r w:rsidR="00C45B35" w:rsidRPr="00A40B6E">
        <w:rPr>
          <w:rFonts w:asciiTheme="majorHAnsi" w:hAnsiTheme="majorHAnsi" w:cstheme="majorHAnsi"/>
          <w:color w:val="000000"/>
        </w:rPr>
        <w:t xml:space="preserve"> arba atidėjo. Pavyzdžiui, </w:t>
      </w:r>
      <w:r w:rsidR="00C45B35" w:rsidRPr="00A40B6E">
        <w:rPr>
          <w:rFonts w:asciiTheme="majorHAnsi" w:hAnsiTheme="majorHAnsi" w:cstheme="majorHAnsi"/>
          <w:bCs/>
          <w:color w:val="000000"/>
        </w:rPr>
        <w:t>2014 m. Šveicarijos Vyriausybė bendrinės pakuotės reguliavimo atsisakė, nes tai būtų „žingsnis per toli“</w:t>
      </w:r>
      <w:r w:rsidR="00C45B35" w:rsidRPr="00A40B6E">
        <w:rPr>
          <w:rStyle w:val="FootnoteReference"/>
          <w:rFonts w:asciiTheme="majorHAnsi" w:hAnsiTheme="majorHAnsi" w:cstheme="majorHAnsi"/>
          <w:bCs/>
          <w:color w:val="000000"/>
        </w:rPr>
        <w:footnoteReference w:id="10"/>
      </w:r>
      <w:r w:rsidR="00C45B35" w:rsidRPr="00A40B6E">
        <w:rPr>
          <w:rFonts w:asciiTheme="majorHAnsi" w:hAnsiTheme="majorHAnsi" w:cstheme="majorHAnsi"/>
          <w:bCs/>
          <w:color w:val="000000"/>
        </w:rPr>
        <w:t>. Danijos Sveikatos apsaugos ministrė teigė, kad bendrinės pakuotės įvedimas nėra reikalingas, nes tai prieštarautų konkurencijos ir žodžio laisvės principams</w:t>
      </w:r>
      <w:r w:rsidR="00C45B35" w:rsidRPr="00A40B6E">
        <w:rPr>
          <w:rStyle w:val="FootnoteReference"/>
          <w:rFonts w:asciiTheme="majorHAnsi" w:hAnsiTheme="majorHAnsi" w:cstheme="majorHAnsi"/>
          <w:bCs/>
          <w:color w:val="000000"/>
        </w:rPr>
        <w:footnoteReference w:id="11"/>
      </w:r>
      <w:r w:rsidR="00C45B35" w:rsidRPr="00A40B6E">
        <w:rPr>
          <w:rFonts w:asciiTheme="majorHAnsi" w:hAnsiTheme="majorHAnsi" w:cstheme="majorHAnsi"/>
          <w:bCs/>
          <w:color w:val="000000"/>
        </w:rPr>
        <w:t>.</w:t>
      </w:r>
    </w:p>
    <w:p w14:paraId="0F8489A2" w14:textId="43B5AF47" w:rsidR="00C45B35" w:rsidRPr="00A40B6E" w:rsidRDefault="00C45B35" w:rsidP="00C45B35">
      <w:pPr>
        <w:pStyle w:val="ListParagraph"/>
        <w:ind w:left="1080"/>
        <w:rPr>
          <w:rFonts w:asciiTheme="majorHAnsi" w:hAnsiTheme="majorHAnsi" w:cstheme="majorHAnsi"/>
          <w:bCs/>
          <w:color w:val="000000"/>
        </w:rPr>
      </w:pPr>
      <w:r w:rsidRPr="00A40B6E">
        <w:rPr>
          <w:rFonts w:asciiTheme="majorHAnsi" w:hAnsiTheme="majorHAnsi" w:cstheme="majorHAnsi"/>
          <w:bCs/>
          <w:color w:val="000000"/>
        </w:rPr>
        <w:t xml:space="preserve">Tai tik patvirtina, kad siūlomas draudimas yra </w:t>
      </w:r>
      <w:r w:rsidR="00E75C32" w:rsidRPr="00A40B6E">
        <w:rPr>
          <w:rFonts w:asciiTheme="majorHAnsi" w:hAnsiTheme="majorHAnsi" w:cstheme="majorHAnsi"/>
          <w:bCs/>
          <w:color w:val="000000"/>
        </w:rPr>
        <w:t>kontroversiška</w:t>
      </w:r>
      <w:r w:rsidRPr="00A40B6E">
        <w:rPr>
          <w:rFonts w:asciiTheme="majorHAnsi" w:hAnsiTheme="majorHAnsi" w:cstheme="majorHAnsi"/>
          <w:bCs/>
          <w:color w:val="000000"/>
        </w:rPr>
        <w:t>, nevienareikšmiškai vertinama priemonė, kurios įvedimą reikėtų pagrįsti išsamia, objektyvia analize</w:t>
      </w:r>
      <w:r w:rsidR="00E75C32" w:rsidRPr="00A40B6E">
        <w:rPr>
          <w:rFonts w:asciiTheme="majorHAnsi" w:hAnsiTheme="majorHAnsi" w:cstheme="majorHAnsi"/>
          <w:bCs/>
          <w:color w:val="000000"/>
        </w:rPr>
        <w:t>. Deja, tokios analizės</w:t>
      </w:r>
      <w:r w:rsidRPr="00A40B6E">
        <w:rPr>
          <w:rFonts w:asciiTheme="majorHAnsi" w:hAnsiTheme="majorHAnsi" w:cstheme="majorHAnsi"/>
          <w:bCs/>
          <w:color w:val="000000"/>
        </w:rPr>
        <w:t xml:space="preserve"> Projekto lydimuosiuose dokumentuose nėra.</w:t>
      </w:r>
    </w:p>
    <w:p w14:paraId="7135D91B" w14:textId="3B4B6A58" w:rsidR="007D50BE" w:rsidRPr="00A40B6E" w:rsidRDefault="007D50BE" w:rsidP="00C45B35">
      <w:pPr>
        <w:pStyle w:val="ListParagraph"/>
        <w:numPr>
          <w:ilvl w:val="1"/>
          <w:numId w:val="25"/>
        </w:numPr>
        <w:rPr>
          <w:rFonts w:asciiTheme="majorHAnsi" w:hAnsiTheme="majorHAnsi" w:cstheme="majorHAnsi"/>
          <w:b/>
          <w:sz w:val="23"/>
          <w:szCs w:val="23"/>
        </w:rPr>
      </w:pPr>
      <w:r w:rsidRPr="00A40B6E">
        <w:rPr>
          <w:rFonts w:asciiTheme="majorHAnsi" w:hAnsiTheme="majorHAnsi" w:cstheme="majorHAnsi"/>
          <w:b/>
          <w:bCs/>
          <w:color w:val="000000"/>
          <w:sz w:val="23"/>
          <w:szCs w:val="23"/>
        </w:rPr>
        <w:t xml:space="preserve">Lietuvoje </w:t>
      </w:r>
      <w:r w:rsidR="00CF0821" w:rsidRPr="00A40B6E">
        <w:rPr>
          <w:rFonts w:asciiTheme="majorHAnsi" w:hAnsiTheme="majorHAnsi" w:cstheme="majorHAnsi"/>
          <w:b/>
          <w:bCs/>
          <w:color w:val="000000"/>
          <w:sz w:val="23"/>
          <w:szCs w:val="23"/>
        </w:rPr>
        <w:t>–</w:t>
      </w:r>
      <w:r w:rsidRPr="00A40B6E">
        <w:rPr>
          <w:rFonts w:asciiTheme="majorHAnsi" w:hAnsiTheme="majorHAnsi" w:cstheme="majorHAnsi"/>
          <w:b/>
          <w:bCs/>
          <w:color w:val="000000"/>
          <w:sz w:val="23"/>
          <w:szCs w:val="23"/>
        </w:rPr>
        <w:t xml:space="preserve"> jau daug draudimų</w:t>
      </w:r>
      <w:r w:rsidR="00CF0821" w:rsidRPr="00A40B6E">
        <w:rPr>
          <w:rFonts w:asciiTheme="majorHAnsi" w:hAnsiTheme="majorHAnsi" w:cstheme="majorHAnsi"/>
          <w:b/>
          <w:bCs/>
          <w:color w:val="000000"/>
          <w:sz w:val="23"/>
          <w:szCs w:val="23"/>
        </w:rPr>
        <w:t xml:space="preserve"> tabako gaminiams</w:t>
      </w:r>
      <w:r w:rsidRPr="00A40B6E">
        <w:rPr>
          <w:rFonts w:asciiTheme="majorHAnsi" w:hAnsiTheme="majorHAnsi" w:cstheme="majorHAnsi"/>
          <w:b/>
          <w:bCs/>
          <w:color w:val="000000"/>
          <w:sz w:val="23"/>
          <w:szCs w:val="23"/>
        </w:rPr>
        <w:t xml:space="preserve">. </w:t>
      </w:r>
      <w:r w:rsidR="00883BEE" w:rsidRPr="00A40B6E">
        <w:rPr>
          <w:rFonts w:asciiTheme="majorHAnsi" w:hAnsiTheme="majorHAnsi" w:cstheme="majorHAnsi"/>
          <w:color w:val="000000"/>
        </w:rPr>
        <w:t xml:space="preserve">Lietuvoje jau yra uždrausta tabako gaminių reklama, tabako gaminių gamintojai ir pardavėjai negali informuoti visuomenės apie naujus (taip pat ir </w:t>
      </w:r>
      <w:r w:rsidR="00556EF9" w:rsidRPr="00A40B6E">
        <w:rPr>
          <w:rFonts w:asciiTheme="majorHAnsi" w:hAnsiTheme="majorHAnsi" w:cstheme="majorHAnsi"/>
          <w:color w:val="000000"/>
        </w:rPr>
        <w:t>mažiau žalojančius sveikatą</w:t>
      </w:r>
      <w:r w:rsidR="00883BEE" w:rsidRPr="00A40B6E">
        <w:rPr>
          <w:rFonts w:asciiTheme="majorHAnsi" w:hAnsiTheme="majorHAnsi" w:cstheme="majorHAnsi"/>
          <w:color w:val="000000"/>
        </w:rPr>
        <w:t xml:space="preserve">) tabako gaminius. Tabako gaminių pakuotės jau turi įspėjamuosius užrašus, kurie informuoja visuomenę apie žalingą tabako poveikį. Šių įspėjamųjų </w:t>
      </w:r>
      <w:r w:rsidR="00883BEE" w:rsidRPr="00A40B6E">
        <w:rPr>
          <w:rFonts w:asciiTheme="majorHAnsi" w:hAnsiTheme="majorHAnsi" w:cstheme="majorHAnsi"/>
          <w:color w:val="000000"/>
        </w:rPr>
        <w:lastRenderedPageBreak/>
        <w:t>užrašų reguliavimas jau yra tarp griežčiausių reguliavimų pasaulyje (14 vieta iš 153)</w:t>
      </w:r>
      <w:r w:rsidR="004A2A0C" w:rsidRPr="00A40B6E">
        <w:rPr>
          <w:rStyle w:val="FootnoteReference"/>
          <w:rFonts w:asciiTheme="majorHAnsi" w:hAnsiTheme="majorHAnsi" w:cstheme="majorHAnsi"/>
          <w:color w:val="000000"/>
        </w:rPr>
        <w:footnoteReference w:id="12"/>
      </w:r>
      <w:r w:rsidR="004A2A0C" w:rsidRPr="00A40B6E">
        <w:rPr>
          <w:rFonts w:asciiTheme="majorHAnsi" w:hAnsiTheme="majorHAnsi" w:cstheme="majorHAnsi"/>
          <w:color w:val="000000"/>
        </w:rPr>
        <w:t xml:space="preserve">. </w:t>
      </w:r>
      <w:r w:rsidR="00883BEE" w:rsidRPr="00A40B6E">
        <w:rPr>
          <w:rFonts w:asciiTheme="majorHAnsi" w:hAnsiTheme="majorHAnsi" w:cstheme="majorHAnsi"/>
          <w:color w:val="000000"/>
        </w:rPr>
        <w:t>Įvairiuose informacijos kanaluose (televizijoje, radijuje, lauko reklamose) yra platinama reklama, nukreipta prieš rūkymą. Turint galvoje jau taikomų priemonių skaičių, yra tikslinga išsamiai ir objektyviai įvertinti ar logotipų ir prekinių ženklų draudimas ant pakuočių yra proporcinga priemonė</w:t>
      </w:r>
      <w:r w:rsidR="00883BEE" w:rsidRPr="00A40B6E">
        <w:rPr>
          <w:rStyle w:val="FootnoteReference"/>
          <w:rFonts w:asciiTheme="majorHAnsi" w:hAnsiTheme="majorHAnsi" w:cstheme="majorHAnsi"/>
          <w:color w:val="000000"/>
        </w:rPr>
        <w:footnoteReference w:id="13"/>
      </w:r>
      <w:r w:rsidR="004A2A0C" w:rsidRPr="00A40B6E">
        <w:rPr>
          <w:rFonts w:asciiTheme="majorHAnsi" w:hAnsiTheme="majorHAnsi" w:cstheme="majorHAnsi"/>
          <w:color w:val="000000"/>
        </w:rPr>
        <w:t xml:space="preserve"> </w:t>
      </w:r>
      <w:r w:rsidR="00883BEE" w:rsidRPr="00A40B6E">
        <w:rPr>
          <w:rFonts w:asciiTheme="majorHAnsi" w:hAnsiTheme="majorHAnsi" w:cstheme="majorHAnsi"/>
          <w:color w:val="000000"/>
        </w:rPr>
        <w:t xml:space="preserve">visuomenės sveikatos tikslams siekti. Tačiau Projekto </w:t>
      </w:r>
      <w:r w:rsidR="00077E96" w:rsidRPr="00A40B6E">
        <w:rPr>
          <w:rFonts w:asciiTheme="majorHAnsi" w:hAnsiTheme="majorHAnsi" w:cstheme="majorHAnsi"/>
          <w:color w:val="000000"/>
        </w:rPr>
        <w:t>A</w:t>
      </w:r>
      <w:r w:rsidR="00883BEE" w:rsidRPr="00A40B6E">
        <w:rPr>
          <w:rFonts w:asciiTheme="majorHAnsi" w:hAnsiTheme="majorHAnsi" w:cstheme="majorHAnsi"/>
          <w:color w:val="000000"/>
        </w:rPr>
        <w:t>iškinamasis raštas tokio vertinimo neatlieka</w:t>
      </w:r>
      <w:r w:rsidR="00077E96" w:rsidRPr="00A40B6E">
        <w:rPr>
          <w:rFonts w:asciiTheme="majorHAnsi" w:hAnsiTheme="majorHAnsi" w:cstheme="majorHAnsi"/>
          <w:color w:val="000000"/>
        </w:rPr>
        <w:t>, taigi</w:t>
      </w:r>
      <w:r w:rsidR="00883BEE" w:rsidRPr="00A40B6E">
        <w:rPr>
          <w:rFonts w:asciiTheme="majorHAnsi" w:hAnsiTheme="majorHAnsi" w:cstheme="majorHAnsi"/>
          <w:color w:val="000000"/>
        </w:rPr>
        <w:t xml:space="preserve"> yra neobjektyvus.</w:t>
      </w:r>
    </w:p>
    <w:p w14:paraId="4F2C9ACA" w14:textId="7110F29B" w:rsidR="00A805E2" w:rsidRPr="00A40B6E" w:rsidRDefault="00C51DAA" w:rsidP="00832517">
      <w:pPr>
        <w:pStyle w:val="ListParagraph"/>
        <w:numPr>
          <w:ilvl w:val="1"/>
          <w:numId w:val="25"/>
        </w:numPr>
        <w:rPr>
          <w:rFonts w:asciiTheme="majorHAnsi" w:hAnsiTheme="majorHAnsi" w:cstheme="majorHAnsi"/>
          <w:sz w:val="23"/>
          <w:szCs w:val="23"/>
        </w:rPr>
      </w:pPr>
      <w:r w:rsidRPr="00A40B6E">
        <w:rPr>
          <w:rFonts w:asciiTheme="majorHAnsi" w:hAnsiTheme="majorHAnsi" w:cstheme="majorHAnsi"/>
          <w:b/>
          <w:bCs/>
          <w:color w:val="000000"/>
        </w:rPr>
        <w:t xml:space="preserve"> </w:t>
      </w:r>
      <w:r w:rsidR="00A805E2" w:rsidRPr="00A40B6E">
        <w:rPr>
          <w:rFonts w:asciiTheme="majorHAnsi" w:hAnsiTheme="majorHAnsi" w:cstheme="majorHAnsi"/>
          <w:b/>
          <w:bCs/>
          <w:color w:val="000000"/>
        </w:rPr>
        <w:t xml:space="preserve">Tabako vartojimas Lietuvoje </w:t>
      </w:r>
      <w:r w:rsidR="00F43DBB" w:rsidRPr="00A40B6E">
        <w:rPr>
          <w:rFonts w:asciiTheme="majorHAnsi" w:hAnsiTheme="majorHAnsi" w:cstheme="majorHAnsi"/>
          <w:b/>
          <w:bCs/>
          <w:color w:val="000000"/>
        </w:rPr>
        <w:t>–</w:t>
      </w:r>
      <w:r w:rsidR="00A805E2" w:rsidRPr="00A40B6E">
        <w:rPr>
          <w:rFonts w:asciiTheme="majorHAnsi" w:hAnsiTheme="majorHAnsi" w:cstheme="majorHAnsi"/>
          <w:b/>
          <w:bCs/>
          <w:color w:val="000000"/>
        </w:rPr>
        <w:t xml:space="preserve"> neišskirtinis. </w:t>
      </w:r>
      <w:r w:rsidR="00832517" w:rsidRPr="00A40B6E">
        <w:rPr>
          <w:rFonts w:asciiTheme="majorHAnsi" w:hAnsiTheme="majorHAnsi" w:cstheme="majorHAnsi"/>
          <w:color w:val="000000"/>
        </w:rPr>
        <w:t>Atkreipiame dėmesį, kad rūkymo paplitimo statistika Lietuvoje yra vidutiniška. ES kontekste Lietuva nėra iš</w:t>
      </w:r>
      <w:r w:rsidR="00796FBD" w:rsidRPr="00A40B6E">
        <w:rPr>
          <w:rFonts w:asciiTheme="majorHAnsi" w:hAnsiTheme="majorHAnsi" w:cstheme="majorHAnsi"/>
          <w:color w:val="000000"/>
        </w:rPr>
        <w:t>s</w:t>
      </w:r>
      <w:r w:rsidR="00832517" w:rsidRPr="00A40B6E">
        <w:rPr>
          <w:rFonts w:asciiTheme="majorHAnsi" w:hAnsiTheme="majorHAnsi" w:cstheme="majorHAnsi"/>
          <w:color w:val="000000"/>
        </w:rPr>
        <w:t>kirtinė nei tarp rūkančių daug (20 ir daugiau cigarečių per dieną), nei tarp rūkančių mažai (iki 20 cigarečių per dieną); jaunimo tarpe rūkymo statistika irgi niekuo neišskirtinė ES kontekste (žr. pav. žemiau). Logotipų ir prekinių ženklų draudimas ant cigarečių pakuočių yra išskirtinio griežtumo priemonė, tačiau Projektas nepagrindžia tokios drastiško draudimo būtinybės.</w:t>
      </w:r>
    </w:p>
    <w:p w14:paraId="73E3C69A" w14:textId="62316E73" w:rsidR="00F43DBB" w:rsidRPr="00A40B6E" w:rsidRDefault="00F43DBB" w:rsidP="00F43DBB">
      <w:pPr>
        <w:ind w:left="720"/>
        <w:rPr>
          <w:rFonts w:asciiTheme="majorHAnsi" w:hAnsiTheme="majorHAnsi" w:cstheme="majorHAnsi"/>
          <w:sz w:val="20"/>
          <w:szCs w:val="20"/>
        </w:rPr>
      </w:pPr>
      <w:r w:rsidRPr="00A40B6E">
        <w:rPr>
          <w:rFonts w:asciiTheme="majorHAnsi" w:hAnsiTheme="majorHAnsi" w:cstheme="majorHAnsi"/>
          <w:sz w:val="20"/>
          <w:szCs w:val="20"/>
        </w:rPr>
        <w:t>1 paveikslėlis. Tabako vartojimo intensyvumas ES, 2014 m.</w:t>
      </w:r>
    </w:p>
    <w:p w14:paraId="1468EE66" w14:textId="5BBECC40" w:rsidR="00C51DAA" w:rsidRPr="00A40B6E" w:rsidRDefault="00BD3666" w:rsidP="00C51DAA">
      <w:pPr>
        <w:ind w:left="720"/>
        <w:rPr>
          <w:rFonts w:asciiTheme="majorHAnsi" w:hAnsiTheme="majorHAnsi" w:cstheme="majorHAnsi"/>
          <w:color w:val="auto"/>
          <w:sz w:val="23"/>
          <w:szCs w:val="23"/>
        </w:rPr>
      </w:pPr>
      <w:r w:rsidRPr="00A40B6E">
        <w:rPr>
          <w:noProof/>
        </w:rPr>
        <w:drawing>
          <wp:inline distT="0" distB="0" distL="0" distR="0" wp14:anchorId="58CB2016" wp14:editId="2D684834">
            <wp:extent cx="5553418" cy="2781300"/>
            <wp:effectExtent l="0" t="0" r="9525" b="0"/>
            <wp:docPr id="6" name="Picture 6" descr="https://lh3.googleusercontent.com/Jkm-ro6DjBnInJuMh9MdcYwLzT2cqHFu5U8dabHLKfEawNrdZZ8SLeKTlidah49ytxNzy27IiB_WgRLu9zlRUIHD0zq_tl1p0ew7yH21K1nEpubxeVeXoLm6Bb6cIFil5eNNBH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km-ro6DjBnInJuMh9MdcYwLzT2cqHFu5U8dabHLKfEawNrdZZ8SLeKTlidah49ytxNzy27IiB_WgRLu9zlRUIHD0zq_tl1p0ew7yH21K1nEpubxeVeXoLm6Bb6cIFil5eNNBHN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498" cy="2793360"/>
                    </a:xfrm>
                    <a:prstGeom prst="rect">
                      <a:avLst/>
                    </a:prstGeom>
                    <a:noFill/>
                    <a:ln>
                      <a:noFill/>
                    </a:ln>
                  </pic:spPr>
                </pic:pic>
              </a:graphicData>
            </a:graphic>
          </wp:inline>
        </w:drawing>
      </w:r>
    </w:p>
    <w:p w14:paraId="6D13C7F3" w14:textId="4CEC4719" w:rsidR="00F43DBB" w:rsidRPr="00A40B6E" w:rsidRDefault="00832517" w:rsidP="00C51DAA">
      <w:pPr>
        <w:ind w:left="720"/>
        <w:rPr>
          <w:rFonts w:asciiTheme="majorHAnsi" w:hAnsiTheme="majorHAnsi" w:cstheme="majorHAnsi"/>
          <w:color w:val="auto"/>
          <w:sz w:val="20"/>
          <w:szCs w:val="20"/>
        </w:rPr>
      </w:pPr>
      <w:r w:rsidRPr="00A40B6E">
        <w:rPr>
          <w:rFonts w:asciiTheme="majorHAnsi" w:hAnsiTheme="majorHAnsi" w:cstheme="majorHAnsi"/>
          <w:color w:val="auto"/>
          <w:sz w:val="20"/>
          <w:szCs w:val="20"/>
        </w:rPr>
        <w:t xml:space="preserve">Šaltinis: </w:t>
      </w:r>
      <w:proofErr w:type="spellStart"/>
      <w:r w:rsidRPr="00A40B6E">
        <w:rPr>
          <w:rFonts w:asciiTheme="majorHAnsi" w:hAnsiTheme="majorHAnsi" w:cstheme="majorHAnsi"/>
          <w:color w:val="auto"/>
          <w:sz w:val="20"/>
          <w:szCs w:val="20"/>
        </w:rPr>
        <w:t>Eurostat</w:t>
      </w:r>
      <w:proofErr w:type="spellEnd"/>
      <w:r w:rsidR="00BC71B6" w:rsidRPr="00A40B6E">
        <w:rPr>
          <w:rFonts w:asciiTheme="majorHAnsi" w:hAnsiTheme="majorHAnsi" w:cstheme="majorHAnsi"/>
          <w:color w:val="auto"/>
          <w:sz w:val="20"/>
          <w:szCs w:val="20"/>
        </w:rPr>
        <w:t>.</w:t>
      </w:r>
    </w:p>
    <w:p w14:paraId="58844526" w14:textId="77777777" w:rsidR="00F43DBB" w:rsidRPr="00A40B6E" w:rsidRDefault="00F43DBB">
      <w:pPr>
        <w:rPr>
          <w:rFonts w:asciiTheme="majorHAnsi" w:hAnsiTheme="majorHAnsi" w:cstheme="majorHAnsi"/>
          <w:color w:val="auto"/>
          <w:sz w:val="20"/>
          <w:szCs w:val="20"/>
        </w:rPr>
      </w:pPr>
      <w:r w:rsidRPr="00A40B6E">
        <w:rPr>
          <w:rFonts w:asciiTheme="majorHAnsi" w:hAnsiTheme="majorHAnsi" w:cstheme="majorHAnsi"/>
          <w:color w:val="auto"/>
          <w:sz w:val="20"/>
          <w:szCs w:val="20"/>
        </w:rPr>
        <w:br w:type="page"/>
      </w:r>
    </w:p>
    <w:p w14:paraId="6287F29D" w14:textId="3D83D326" w:rsidR="00F43DBB" w:rsidRPr="00A40B6E" w:rsidRDefault="00F43DBB" w:rsidP="00F43DBB">
      <w:pPr>
        <w:ind w:left="720"/>
        <w:rPr>
          <w:rFonts w:asciiTheme="majorHAnsi" w:hAnsiTheme="majorHAnsi" w:cstheme="majorHAnsi"/>
          <w:sz w:val="20"/>
          <w:szCs w:val="20"/>
        </w:rPr>
      </w:pPr>
      <w:r w:rsidRPr="00A40B6E">
        <w:rPr>
          <w:rFonts w:asciiTheme="majorHAnsi" w:hAnsiTheme="majorHAnsi" w:cstheme="majorHAnsi"/>
          <w:sz w:val="20"/>
          <w:szCs w:val="20"/>
        </w:rPr>
        <w:lastRenderedPageBreak/>
        <w:t>2 paveikslėlis. Rūkančių žmonių dalis ES 2014 m.</w:t>
      </w:r>
    </w:p>
    <w:p w14:paraId="5987BC4D" w14:textId="13F46775" w:rsidR="00A805E2" w:rsidRPr="00A40B6E" w:rsidRDefault="00C055E5" w:rsidP="00BD3666">
      <w:pPr>
        <w:pStyle w:val="ListParagraph"/>
        <w:ind w:left="0"/>
        <w:rPr>
          <w:rFonts w:asciiTheme="majorHAnsi" w:hAnsiTheme="majorHAnsi" w:cstheme="majorHAnsi"/>
          <w:b/>
          <w:sz w:val="23"/>
          <w:szCs w:val="23"/>
        </w:rPr>
      </w:pPr>
      <w:r w:rsidRPr="00A40B6E">
        <w:rPr>
          <w:rFonts w:ascii="Calibri" w:hAnsi="Calibri" w:cs="Calibri"/>
          <w:color w:val="000000"/>
          <w:lang w:eastAsia="lt-LT"/>
        </w:rPr>
        <w:drawing>
          <wp:inline distT="0" distB="0" distL="0" distR="0" wp14:anchorId="1D3AB5B6" wp14:editId="2579398E">
            <wp:extent cx="6086475" cy="3716165"/>
            <wp:effectExtent l="0" t="0" r="0" b="0"/>
            <wp:docPr id="5" name="Picture 5" descr="https://lh6.googleusercontent.com/xUL1jI290aPhEAxaXgL-1kC2PbWrI-kzaCfs0-o6laO4VI4fnADxCSrihvIopClxSV5jzMiic4SPHw1mEdqHfwsEELU8GoQLstRoZtDtyaIyxI3yCnbBAgdKl3Ed8AHnAHESe9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UL1jI290aPhEAxaXgL-1kC2PbWrI-kzaCfs0-o6laO4VI4fnADxCSrihvIopClxSV5jzMiic4SPHw1mEdqHfwsEELU8GoQLstRoZtDtyaIyxI3yCnbBAgdKl3Ed8AHnAHESe9J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5959" cy="3746378"/>
                    </a:xfrm>
                    <a:prstGeom prst="rect">
                      <a:avLst/>
                    </a:prstGeom>
                    <a:noFill/>
                    <a:ln>
                      <a:noFill/>
                    </a:ln>
                  </pic:spPr>
                </pic:pic>
              </a:graphicData>
            </a:graphic>
          </wp:inline>
        </w:drawing>
      </w:r>
    </w:p>
    <w:p w14:paraId="4CDD11D8" w14:textId="56F109F8" w:rsidR="00A805E2" w:rsidRPr="00A40B6E" w:rsidRDefault="00A805E2" w:rsidP="00A805E2">
      <w:pPr>
        <w:pStyle w:val="ListParagraph"/>
        <w:rPr>
          <w:rFonts w:asciiTheme="majorHAnsi" w:hAnsiTheme="majorHAnsi" w:cstheme="majorHAnsi"/>
          <w:sz w:val="20"/>
          <w:szCs w:val="20"/>
        </w:rPr>
      </w:pPr>
      <w:r w:rsidRPr="00A40B6E">
        <w:rPr>
          <w:rFonts w:asciiTheme="majorHAnsi" w:hAnsiTheme="majorHAnsi" w:cstheme="majorHAnsi"/>
          <w:sz w:val="20"/>
          <w:szCs w:val="20"/>
        </w:rPr>
        <w:t>Šaltini</w:t>
      </w:r>
      <w:r w:rsidR="00832517" w:rsidRPr="00A40B6E">
        <w:rPr>
          <w:rFonts w:asciiTheme="majorHAnsi" w:hAnsiTheme="majorHAnsi" w:cstheme="majorHAnsi"/>
          <w:sz w:val="20"/>
          <w:szCs w:val="20"/>
        </w:rPr>
        <w:t>s</w:t>
      </w:r>
      <w:r w:rsidRPr="00A40B6E">
        <w:rPr>
          <w:rFonts w:asciiTheme="majorHAnsi" w:hAnsiTheme="majorHAnsi" w:cstheme="majorHAnsi"/>
          <w:sz w:val="20"/>
          <w:szCs w:val="20"/>
        </w:rPr>
        <w:t>: Eurostat</w:t>
      </w:r>
      <w:r w:rsidR="00BC71B6" w:rsidRPr="00A40B6E">
        <w:rPr>
          <w:rFonts w:asciiTheme="majorHAnsi" w:hAnsiTheme="majorHAnsi" w:cstheme="majorHAnsi"/>
          <w:sz w:val="20"/>
          <w:szCs w:val="20"/>
        </w:rPr>
        <w:t>.</w:t>
      </w:r>
    </w:p>
    <w:p w14:paraId="369FCFE1" w14:textId="6D6007E7" w:rsidR="00CC2C4F" w:rsidRPr="00A40B6E" w:rsidRDefault="00CC2C4F" w:rsidP="00E3063E">
      <w:pPr>
        <w:pStyle w:val="ListParagraph"/>
        <w:numPr>
          <w:ilvl w:val="0"/>
          <w:numId w:val="25"/>
        </w:numPr>
        <w:spacing w:line="256" w:lineRule="auto"/>
        <w:rPr>
          <w:rFonts w:asciiTheme="majorHAnsi" w:hAnsiTheme="majorHAnsi" w:cstheme="majorHAnsi"/>
          <w:color w:val="000000"/>
        </w:rPr>
      </w:pPr>
      <w:r w:rsidRPr="00A40B6E">
        <w:rPr>
          <w:rFonts w:ascii="Calibri" w:hAnsi="Calibri" w:cs="Calibri"/>
          <w:b/>
          <w:bCs/>
          <w:color w:val="000000"/>
        </w:rPr>
        <w:t>Bendrinės pakuotės poveikis</w:t>
      </w:r>
      <w:r w:rsidR="00E75C32" w:rsidRPr="00A40B6E">
        <w:rPr>
          <w:rFonts w:ascii="Calibri" w:hAnsi="Calibri" w:cs="Calibri"/>
          <w:b/>
          <w:bCs/>
          <w:color w:val="000000"/>
        </w:rPr>
        <w:t xml:space="preserve"> –</w:t>
      </w:r>
      <w:r w:rsidRPr="00A40B6E">
        <w:rPr>
          <w:rFonts w:ascii="Calibri" w:hAnsi="Calibri" w:cs="Calibri"/>
          <w:b/>
          <w:bCs/>
          <w:color w:val="000000"/>
        </w:rPr>
        <w:t xml:space="preserve"> nevienareikšmiškas.</w:t>
      </w:r>
    </w:p>
    <w:p w14:paraId="608FC251" w14:textId="0F6A203F" w:rsidR="00CC2C4F" w:rsidRPr="00A40B6E" w:rsidRDefault="006A07C5" w:rsidP="00CC2C4F">
      <w:pPr>
        <w:pStyle w:val="ListParagraph"/>
        <w:numPr>
          <w:ilvl w:val="1"/>
          <w:numId w:val="25"/>
        </w:numPr>
        <w:spacing w:line="256" w:lineRule="auto"/>
        <w:rPr>
          <w:rFonts w:asciiTheme="majorHAnsi" w:hAnsiTheme="majorHAnsi" w:cstheme="majorHAnsi"/>
        </w:rPr>
      </w:pPr>
      <w:r w:rsidRPr="00A40B6E">
        <w:rPr>
          <w:rFonts w:ascii="Calibri" w:hAnsi="Calibri" w:cs="Calibri"/>
          <w:b/>
          <w:bCs/>
          <w:color w:val="000000"/>
        </w:rPr>
        <w:t>Neįvertin</w:t>
      </w:r>
      <w:r w:rsidR="00E75C32" w:rsidRPr="00A40B6E">
        <w:rPr>
          <w:rFonts w:ascii="Calibri" w:hAnsi="Calibri" w:cs="Calibri"/>
          <w:b/>
          <w:bCs/>
          <w:color w:val="000000"/>
        </w:rPr>
        <w:t>t</w:t>
      </w:r>
      <w:r w:rsidRPr="00A40B6E">
        <w:rPr>
          <w:rFonts w:ascii="Calibri" w:hAnsi="Calibri" w:cs="Calibri"/>
          <w:b/>
          <w:bCs/>
          <w:color w:val="000000"/>
        </w:rPr>
        <w:t>a koks poveikis bus nelegaliai rinkai ir</w:t>
      </w:r>
      <w:r w:rsidR="00E75C32" w:rsidRPr="00A40B6E">
        <w:rPr>
          <w:rFonts w:ascii="Calibri" w:hAnsi="Calibri" w:cs="Calibri"/>
          <w:b/>
          <w:bCs/>
          <w:color w:val="000000"/>
        </w:rPr>
        <w:t xml:space="preserve"> tai</w:t>
      </w:r>
      <w:r w:rsidR="005E57B0" w:rsidRPr="00A40B6E">
        <w:rPr>
          <w:rFonts w:ascii="Calibri" w:hAnsi="Calibri" w:cs="Calibri"/>
          <w:b/>
          <w:bCs/>
          <w:color w:val="000000"/>
        </w:rPr>
        <w:t>,</w:t>
      </w:r>
      <w:r w:rsidRPr="00A40B6E">
        <w:rPr>
          <w:rFonts w:ascii="Calibri" w:hAnsi="Calibri" w:cs="Calibri"/>
          <w:b/>
          <w:bCs/>
          <w:color w:val="000000"/>
        </w:rPr>
        <w:t xml:space="preserve"> kad reguliavimas gali sukelti priešingą efektą – </w:t>
      </w:r>
      <w:r w:rsidR="00157B60" w:rsidRPr="00A40B6E">
        <w:rPr>
          <w:rFonts w:ascii="Calibri" w:hAnsi="Calibri" w:cs="Calibri"/>
          <w:b/>
          <w:bCs/>
          <w:color w:val="000000"/>
        </w:rPr>
        <w:t xml:space="preserve">paskatintų </w:t>
      </w:r>
      <w:r w:rsidRPr="00A40B6E">
        <w:rPr>
          <w:rFonts w:ascii="Calibri" w:hAnsi="Calibri" w:cs="Calibri"/>
          <w:b/>
          <w:bCs/>
          <w:color w:val="000000"/>
        </w:rPr>
        <w:t>didesnį šių gaminių vartojimą.</w:t>
      </w:r>
      <w:r w:rsidRPr="00A40B6E">
        <w:rPr>
          <w:rFonts w:asciiTheme="majorHAnsi" w:hAnsiTheme="majorHAnsi" w:cstheme="majorHAnsi"/>
        </w:rPr>
        <w:t xml:space="preserve"> </w:t>
      </w:r>
      <w:r w:rsidR="00CC2C4F" w:rsidRPr="00A40B6E">
        <w:rPr>
          <w:rFonts w:asciiTheme="majorHAnsi" w:hAnsiTheme="majorHAnsi" w:cstheme="majorHAnsi"/>
        </w:rPr>
        <w:t xml:space="preserve">Australijoje, įvedus bendrinės pakuotės reguliavimą, suvartojamų nelegalių tabako gaminių dalis, prieš reguliavimą mažėjusi, išaugo nuo 11,5 proc. 2012 m. iki 13,5 proc. 2013 m. (žr. pav. žemiau) </w:t>
      </w:r>
      <w:r w:rsidR="00CC2C4F" w:rsidRPr="00A40B6E">
        <w:rPr>
          <w:rFonts w:asciiTheme="majorHAnsi" w:hAnsiTheme="majorHAnsi" w:cstheme="majorHAnsi"/>
        </w:rPr>
        <w:fldChar w:fldCharType="begin"/>
      </w:r>
      <w:r w:rsidR="00CC2C4F" w:rsidRPr="00A40B6E">
        <w:rPr>
          <w:rFonts w:asciiTheme="majorHAnsi" w:hAnsiTheme="majorHAnsi" w:cstheme="majorHAnsi"/>
        </w:rPr>
        <w:instrText xml:space="preserve"> ADDIN EN.CITE &lt;EndNote&gt;&lt;Cite&gt;&lt;Author&gt;Snowdon&lt;/Author&gt;&lt;Year&gt;2014 August&lt;/Year&gt;&lt;RecNum&gt;2771&lt;/RecNum&gt;&lt;Suffix&gt;: 14&lt;/Suffix&gt;&lt;DisplayText&gt;(KPMG, 2017: 7; Snowdon, 2014 August: 14)&lt;/DisplayText&gt;&lt;record&gt;&lt;rec-number&gt;2771&lt;/rec-number&gt;&lt;foreign-keys&gt;&lt;key app="EN" db-id="50wxdpzd9vd5r7e9t5b595djrfpttrxw9avp"&gt;2771&lt;/key&gt;&lt;/foreign-keys&gt;&lt;ref-type name="Journal Article"&gt;17&lt;/ref-type&gt;&lt;contributors&gt;&lt;authors&gt;&lt;author&gt;Christopher Snowdon&lt;/author&gt;&lt;/authors&gt;&lt;/contributors&gt;&lt;titles&gt;&lt;title&gt;&lt;style face="normal" font="default" size="100%"&gt;PLAIN PACKAGING –&lt;/style&gt;&lt;style face="normal" font="default" charset="186" size="100%"&gt; &lt;/style&gt;&lt;style face="normal" font="default" size="100%"&gt;QUESTIONS THAT&lt;/style&gt;&lt;style face="normal" font="default" charset="186" size="100%"&gt; &lt;/style&gt;&lt;style face="normal" font="default" size="100%"&gt;NEED ANSWERING&lt;/style&gt;&lt;/title&gt;&lt;/titles&gt;&lt;dates&gt;&lt;year&gt;&lt;style face="normal" font="default" charset="186" size="100%"&gt;2014 August&lt;/style&gt;&lt;/year&gt;&lt;/dates&gt;&lt;urls&gt;&lt;related-urls&gt;&lt;url&gt;https://iea.org.uk/publications/research/plain-packaging-questions-that-need-answering&lt;/url&gt;&lt;/related-urls&gt;&lt;/urls&gt;&lt;/record&gt;&lt;/Cite&gt;&lt;Cite&gt;&lt;Author&gt;KPMG&lt;/Author&gt;&lt;Year&gt;2017&lt;/Year&gt;&lt;RecNum&gt;2781&lt;/RecNum&gt;&lt;Suffix&gt;: 7&lt;/Suffix&gt;&lt;record&gt;&lt;rec-number&gt;2781&lt;/rec-number&gt;&lt;foreign-keys&gt;&lt;key app="EN" db-id="50wxdpzd9vd5r7e9t5b595djrfpttrxw9avp"&gt;2781&lt;/key&gt;&lt;/foreign-keys&gt;&lt;ref-type name="Journal Article"&gt;17&lt;/ref-type&gt;&lt;contributors&gt;&lt;authors&gt;&lt;author&gt;&lt;style face="normal" font="default" charset="186" size="100%"&gt;KPMG&lt;/style&gt;&lt;/author&gt;&lt;/authors&gt;&lt;/contributors&gt;&lt;titles&gt;&lt;title&gt;Illicit tobacco in Australia&lt;/title&gt;&lt;/titles&gt;&lt;dates&gt;&lt;year&gt;&lt;style face="normal" font="default" charset="186" size="100%"&gt;2017&lt;/style&gt;&lt;/year&gt;&lt;/dates&gt;&lt;urls&gt;&lt;related-urls&gt;&lt;url&gt;https://home.kpmg.com/content/dam/kpmg/uk/pdf/2017/04/Australia-illict-tobacco-Report-2016.pdf&lt;/url&gt;&lt;/related-urls&gt;&lt;/urls&gt;&lt;/record&gt;&lt;/Cite&gt;&lt;/EndNote&gt;</w:instrText>
      </w:r>
      <w:r w:rsidR="00CC2C4F" w:rsidRPr="00A40B6E">
        <w:rPr>
          <w:rFonts w:asciiTheme="majorHAnsi" w:hAnsiTheme="majorHAnsi" w:cstheme="majorHAnsi"/>
        </w:rPr>
        <w:fldChar w:fldCharType="separate"/>
      </w:r>
      <w:r w:rsidR="00CC2C4F" w:rsidRPr="00A40B6E">
        <w:rPr>
          <w:rFonts w:asciiTheme="majorHAnsi" w:hAnsiTheme="majorHAnsi" w:cstheme="majorHAnsi"/>
        </w:rPr>
        <w:t>(</w:t>
      </w:r>
      <w:hyperlink w:anchor="_ENREF_4" w:tooltip="KPMG, 2017 #2781" w:history="1">
        <w:r w:rsidR="00CC2C4F" w:rsidRPr="00A40B6E">
          <w:rPr>
            <w:rFonts w:asciiTheme="majorHAnsi" w:hAnsiTheme="majorHAnsi" w:cstheme="majorHAnsi"/>
          </w:rPr>
          <w:t>KPMG, 2017: 7</w:t>
        </w:r>
      </w:hyperlink>
      <w:r w:rsidR="00CC2C4F" w:rsidRPr="00A40B6E">
        <w:rPr>
          <w:rFonts w:asciiTheme="majorHAnsi" w:hAnsiTheme="majorHAnsi" w:cstheme="majorHAnsi"/>
        </w:rPr>
        <w:t xml:space="preserve">; </w:t>
      </w:r>
      <w:hyperlink w:anchor="_ENREF_8" w:tooltip="Snowdon, 2014 August #2771" w:history="1">
        <w:r w:rsidR="00CC2C4F" w:rsidRPr="00A40B6E">
          <w:rPr>
            <w:rFonts w:asciiTheme="majorHAnsi" w:hAnsiTheme="majorHAnsi" w:cstheme="majorHAnsi"/>
          </w:rPr>
          <w:t>Snowdon, 2014 August: 14</w:t>
        </w:r>
      </w:hyperlink>
      <w:r w:rsidR="00CC2C4F" w:rsidRPr="00A40B6E">
        <w:rPr>
          <w:rFonts w:asciiTheme="majorHAnsi" w:hAnsiTheme="majorHAnsi" w:cstheme="majorHAnsi"/>
        </w:rPr>
        <w:t>)</w:t>
      </w:r>
      <w:r w:rsidR="00CC2C4F" w:rsidRPr="00A40B6E">
        <w:rPr>
          <w:rFonts w:asciiTheme="majorHAnsi" w:hAnsiTheme="majorHAnsi" w:cstheme="majorHAnsi"/>
        </w:rPr>
        <w:fldChar w:fldCharType="end"/>
      </w:r>
      <w:r w:rsidR="00CC2C4F" w:rsidRPr="00A40B6E">
        <w:rPr>
          <w:rFonts w:asciiTheme="majorHAnsi" w:hAnsiTheme="majorHAnsi" w:cstheme="majorHAnsi"/>
        </w:rPr>
        <w:t>. Atkreipiame dėmesį, kad</w:t>
      </w:r>
      <w:r w:rsidR="00CC2C4F" w:rsidRPr="00A40B6E">
        <w:rPr>
          <w:rFonts w:asciiTheme="majorHAnsi" w:hAnsiTheme="majorHAnsi" w:cstheme="majorHAnsi"/>
          <w:b/>
        </w:rPr>
        <w:t xml:space="preserve"> </w:t>
      </w:r>
      <w:r w:rsidR="00CC2C4F" w:rsidRPr="00A40B6E">
        <w:rPr>
          <w:rFonts w:asciiTheme="majorHAnsi" w:hAnsiTheme="majorHAnsi" w:cstheme="majorHAnsi"/>
          <w:color w:val="000000"/>
        </w:rPr>
        <w:t>Lietuvoje nelegalaus tabako rinka yra smarkiai išplėto</w:t>
      </w:r>
      <w:r w:rsidR="00CC2C4F" w:rsidRPr="00A40B6E">
        <w:rPr>
          <w:rFonts w:asciiTheme="majorHAnsi" w:hAnsiTheme="majorHAnsi" w:cstheme="majorHAnsi"/>
        </w:rPr>
        <w:t xml:space="preserve">ta, o nelegali </w:t>
      </w:r>
      <w:r w:rsidR="00CC2C4F" w:rsidRPr="00A40B6E">
        <w:rPr>
          <w:rFonts w:asciiTheme="majorHAnsi" w:hAnsiTheme="majorHAnsi" w:cstheme="majorHAnsi"/>
          <w:color w:val="000000"/>
        </w:rPr>
        <w:t>prekyba</w:t>
      </w:r>
      <w:r w:rsidR="00CC2C4F" w:rsidRPr="00A40B6E">
        <w:rPr>
          <w:rFonts w:asciiTheme="majorHAnsi" w:hAnsiTheme="majorHAnsi" w:cstheme="majorHAnsi"/>
        </w:rPr>
        <w:t xml:space="preserve"> </w:t>
      </w:r>
      <w:r w:rsidR="00CC2C4F" w:rsidRPr="00A40B6E">
        <w:rPr>
          <w:rFonts w:asciiTheme="majorHAnsi" w:hAnsiTheme="majorHAnsi" w:cstheme="majorHAnsi"/>
          <w:color w:val="000000"/>
        </w:rPr>
        <w:t>201</w:t>
      </w:r>
      <w:r w:rsidR="00CC2C4F" w:rsidRPr="00A40B6E">
        <w:rPr>
          <w:rFonts w:asciiTheme="majorHAnsi" w:hAnsiTheme="majorHAnsi" w:cstheme="majorHAnsi"/>
        </w:rPr>
        <w:t>8</w:t>
      </w:r>
      <w:r w:rsidR="00CC2C4F" w:rsidRPr="00A40B6E">
        <w:rPr>
          <w:rFonts w:asciiTheme="majorHAnsi" w:hAnsiTheme="majorHAnsi" w:cstheme="majorHAnsi"/>
          <w:color w:val="000000"/>
        </w:rPr>
        <w:t xml:space="preserve"> m. </w:t>
      </w:r>
      <w:r w:rsidR="00CC2C4F" w:rsidRPr="00A40B6E">
        <w:rPr>
          <w:rFonts w:asciiTheme="majorHAnsi" w:hAnsiTheme="majorHAnsi" w:cstheme="majorHAnsi"/>
        </w:rPr>
        <w:t>I</w:t>
      </w:r>
      <w:r w:rsidR="00CC2C4F" w:rsidRPr="00A40B6E">
        <w:rPr>
          <w:rFonts w:asciiTheme="majorHAnsi" w:hAnsiTheme="majorHAnsi" w:cstheme="majorHAnsi"/>
          <w:color w:val="000000"/>
        </w:rPr>
        <w:t xml:space="preserve"> ketvirtį sudarė 17,7 proc.</w:t>
      </w:r>
    </w:p>
    <w:p w14:paraId="3F340350" w14:textId="25CEED5E" w:rsidR="00383865" w:rsidRPr="00A40B6E" w:rsidRDefault="00383865" w:rsidP="00383865">
      <w:pPr>
        <w:pStyle w:val="ListParagraph"/>
        <w:spacing w:line="256" w:lineRule="auto"/>
        <w:ind w:left="1080"/>
        <w:rPr>
          <w:rFonts w:asciiTheme="majorHAnsi" w:hAnsiTheme="majorHAnsi" w:cstheme="majorHAnsi"/>
        </w:rPr>
      </w:pPr>
    </w:p>
    <w:p w14:paraId="057464D4" w14:textId="49733A9D" w:rsidR="00CC2C4F" w:rsidRPr="00A40B6E" w:rsidRDefault="00CC2C4F" w:rsidP="00AA634B">
      <w:pPr>
        <w:pStyle w:val="ListParagraph"/>
        <w:ind w:firstLine="360"/>
        <w:rPr>
          <w:rFonts w:asciiTheme="majorHAnsi" w:hAnsiTheme="majorHAnsi" w:cstheme="majorHAnsi"/>
          <w:sz w:val="20"/>
          <w:szCs w:val="20"/>
        </w:rPr>
      </w:pPr>
      <w:r w:rsidRPr="00A40B6E">
        <w:rPr>
          <w:rFonts w:asciiTheme="majorHAnsi" w:hAnsiTheme="majorHAnsi" w:cstheme="majorHAnsi"/>
          <w:sz w:val="20"/>
          <w:szCs w:val="20"/>
        </w:rPr>
        <w:t>3 paveikslėlis. Australijos šešėlinė tabako rinka 2007-2016 m.</w:t>
      </w:r>
    </w:p>
    <w:p w14:paraId="5D4CD09C" w14:textId="182E06E3" w:rsidR="00CC2C4F" w:rsidRPr="00A40B6E" w:rsidRDefault="00D71569" w:rsidP="00CC2C4F">
      <w:pPr>
        <w:pStyle w:val="ListParagraph"/>
        <w:spacing w:line="256" w:lineRule="auto"/>
        <w:ind w:left="360"/>
        <w:rPr>
          <w:rFonts w:asciiTheme="majorHAnsi" w:hAnsiTheme="majorHAnsi" w:cstheme="majorHAnsi"/>
        </w:rPr>
      </w:pPr>
      <w:r w:rsidRPr="00A40B6E">
        <w:rPr>
          <w:rFonts w:asciiTheme="majorHAnsi" w:hAnsiTheme="majorHAnsi" w:cstheme="majorHAnsi"/>
          <w:lang w:eastAsia="lt-LT"/>
        </w:rPr>
        <w:drawing>
          <wp:inline distT="0" distB="0" distL="0" distR="0" wp14:anchorId="39A29767" wp14:editId="77780BDE">
            <wp:extent cx="6120130" cy="2565992"/>
            <wp:effectExtent l="0" t="0" r="0" b="6350"/>
            <wp:docPr id="2" name="Picture 2" descr="C:\Users\LLRI\Desktop\Tabako šešėlis Australijoj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RI\Desktop\Tabako šešėlis Australijoj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565992"/>
                    </a:xfrm>
                    <a:prstGeom prst="rect">
                      <a:avLst/>
                    </a:prstGeom>
                    <a:noFill/>
                    <a:ln>
                      <a:noFill/>
                    </a:ln>
                  </pic:spPr>
                </pic:pic>
              </a:graphicData>
            </a:graphic>
          </wp:inline>
        </w:drawing>
      </w:r>
    </w:p>
    <w:p w14:paraId="66EBE855" w14:textId="77777777" w:rsidR="00CC2C4F" w:rsidRPr="00A40B6E" w:rsidRDefault="00CC2C4F" w:rsidP="00CC2C4F">
      <w:pPr>
        <w:pStyle w:val="ListParagraph"/>
        <w:spacing w:line="256" w:lineRule="auto"/>
        <w:ind w:left="1134"/>
        <w:rPr>
          <w:rFonts w:asciiTheme="majorHAnsi" w:hAnsiTheme="majorHAnsi" w:cstheme="majorHAnsi"/>
          <w:sz w:val="20"/>
          <w:szCs w:val="20"/>
        </w:rPr>
      </w:pPr>
      <w:r w:rsidRPr="00A40B6E">
        <w:rPr>
          <w:rFonts w:asciiTheme="majorHAnsi" w:hAnsiTheme="majorHAnsi" w:cstheme="majorHAnsi"/>
          <w:sz w:val="20"/>
          <w:szCs w:val="20"/>
        </w:rPr>
        <w:t xml:space="preserve">Šaltinis: </w:t>
      </w:r>
      <w:hyperlink w:anchor="_ENREF_4" w:tooltip="KPMG, 2017 #2781" w:history="1">
        <w:r w:rsidRPr="00A40B6E">
          <w:rPr>
            <w:rFonts w:asciiTheme="majorHAnsi" w:hAnsiTheme="majorHAnsi" w:cstheme="majorHAnsi"/>
            <w:sz w:val="20"/>
            <w:szCs w:val="20"/>
          </w:rPr>
          <w:fldChar w:fldCharType="begin"/>
        </w:r>
        <w:r w:rsidRPr="00A40B6E">
          <w:rPr>
            <w:rFonts w:asciiTheme="majorHAnsi" w:hAnsiTheme="majorHAnsi" w:cstheme="majorHAnsi"/>
            <w:sz w:val="20"/>
            <w:szCs w:val="20"/>
          </w:rPr>
          <w:instrText xml:space="preserve"> ADDIN EN.CITE &lt;EndNote&gt;&lt;Cite AuthorYear="1"&gt;&lt;Author&gt;KPMG&lt;/Author&gt;&lt;Year&gt;2017&lt;/Year&gt;&lt;RecNum&gt;2781&lt;/RecNum&gt;&lt;DisplayText&gt;KPMG (2017)&lt;/DisplayText&gt;&lt;record&gt;&lt;rec-number&gt;2781&lt;/rec-number&gt;&lt;foreign-keys&gt;&lt;key app="EN" db-id="50wxdpzd9vd5r7e9t5b595djrfpttrxw9avp"&gt;2781&lt;/key&gt;&lt;/foreign-keys&gt;&lt;ref-type name="Journal Article"&gt;17&lt;/ref-type&gt;&lt;contributors&gt;&lt;authors&gt;&lt;author&gt;&lt;style face="normal" font="default" charset="186" size="100%"&gt;KPMG&lt;/style&gt;&lt;/author&gt;&lt;/authors&gt;&lt;/contributors&gt;&lt;titles&gt;&lt;title&gt;Illicit tobacco in Australia&lt;/title&gt;&lt;/titles&gt;&lt;dates&gt;&lt;year&gt;&lt;style face="normal" font="default" charset="186" size="100%"&gt;2017&lt;/style&gt;&lt;/year&gt;&lt;/dates&gt;&lt;urls&gt;&lt;related-urls&gt;&lt;url&gt;https://home.kpmg.com/content/dam/kpmg/uk/pdf/2017/04/Australia-illict-tobacco-Report-2016.pdf&lt;/url&gt;&lt;/related-urls&gt;&lt;/urls&gt;&lt;/record&gt;&lt;/Cite&gt;&lt;/EndNote&gt;</w:instrText>
        </w:r>
        <w:r w:rsidRPr="00A40B6E">
          <w:rPr>
            <w:rFonts w:asciiTheme="majorHAnsi" w:hAnsiTheme="majorHAnsi" w:cstheme="majorHAnsi"/>
            <w:sz w:val="20"/>
            <w:szCs w:val="20"/>
          </w:rPr>
          <w:fldChar w:fldCharType="separate"/>
        </w:r>
        <w:r w:rsidRPr="00A40B6E">
          <w:rPr>
            <w:rFonts w:asciiTheme="majorHAnsi" w:hAnsiTheme="majorHAnsi" w:cstheme="majorHAnsi"/>
            <w:sz w:val="20"/>
            <w:szCs w:val="20"/>
          </w:rPr>
          <w:t>KPMG (2017)</w:t>
        </w:r>
        <w:r w:rsidRPr="00A40B6E">
          <w:rPr>
            <w:rFonts w:asciiTheme="majorHAnsi" w:hAnsiTheme="majorHAnsi" w:cstheme="majorHAnsi"/>
            <w:sz w:val="20"/>
            <w:szCs w:val="20"/>
          </w:rPr>
          <w:fldChar w:fldCharType="end"/>
        </w:r>
      </w:hyperlink>
    </w:p>
    <w:p w14:paraId="442BFF84" w14:textId="336948CD" w:rsidR="00B56C20" w:rsidRPr="00A40B6E" w:rsidRDefault="00CC2C4F" w:rsidP="004E250E">
      <w:pPr>
        <w:spacing w:line="256" w:lineRule="auto"/>
        <w:ind w:left="1134"/>
        <w:rPr>
          <w:rFonts w:asciiTheme="majorHAnsi" w:hAnsiTheme="majorHAnsi" w:cstheme="majorHAnsi"/>
        </w:rPr>
      </w:pPr>
      <w:r w:rsidRPr="00A40B6E">
        <w:rPr>
          <w:rFonts w:asciiTheme="majorHAnsi" w:hAnsiTheme="majorHAnsi" w:cstheme="majorHAnsi"/>
          <w:bCs/>
        </w:rPr>
        <w:lastRenderedPageBreak/>
        <w:t>Įvedus bendrinės pakuotės reguliavimą</w:t>
      </w:r>
      <w:r w:rsidR="00157B60" w:rsidRPr="00A40B6E">
        <w:rPr>
          <w:rFonts w:asciiTheme="majorHAnsi" w:hAnsiTheme="majorHAnsi" w:cstheme="majorHAnsi"/>
          <w:bCs/>
        </w:rPr>
        <w:t>,</w:t>
      </w:r>
      <w:r w:rsidRPr="00A40B6E">
        <w:rPr>
          <w:rFonts w:asciiTheme="majorHAnsi" w:hAnsiTheme="majorHAnsi" w:cstheme="majorHAnsi"/>
          <w:bCs/>
        </w:rPr>
        <w:t xml:space="preserve"> tabako gamintojams yra užkertamas kelias</w:t>
      </w:r>
      <w:r w:rsidRPr="00A40B6E">
        <w:rPr>
          <w:rFonts w:asciiTheme="majorHAnsi" w:hAnsiTheme="majorHAnsi" w:cstheme="majorHAnsi"/>
          <w:b/>
          <w:bCs/>
        </w:rPr>
        <w:t xml:space="preserve"> </w:t>
      </w:r>
      <w:r w:rsidR="00082A9C" w:rsidRPr="00A40B6E">
        <w:rPr>
          <w:rFonts w:asciiTheme="majorHAnsi" w:hAnsiTheme="majorHAnsi" w:cstheme="majorHAnsi"/>
        </w:rPr>
        <w:t>konkurencij</w:t>
      </w:r>
      <w:r w:rsidR="00157B60" w:rsidRPr="00A40B6E">
        <w:rPr>
          <w:rFonts w:asciiTheme="majorHAnsi" w:hAnsiTheme="majorHAnsi" w:cstheme="majorHAnsi"/>
        </w:rPr>
        <w:t>oje</w:t>
      </w:r>
      <w:r w:rsidR="00D87452" w:rsidRPr="00A40B6E">
        <w:rPr>
          <w:rFonts w:asciiTheme="majorHAnsi" w:hAnsiTheme="majorHAnsi" w:cstheme="majorHAnsi"/>
        </w:rPr>
        <w:t xml:space="preserve"> </w:t>
      </w:r>
      <w:r w:rsidR="00157B60" w:rsidRPr="00A40B6E">
        <w:rPr>
          <w:rFonts w:asciiTheme="majorHAnsi" w:hAnsiTheme="majorHAnsi" w:cstheme="majorHAnsi"/>
        </w:rPr>
        <w:t xml:space="preserve">naudoti </w:t>
      </w:r>
      <w:r w:rsidR="00D87452" w:rsidRPr="00A40B6E">
        <w:rPr>
          <w:rFonts w:asciiTheme="majorHAnsi" w:hAnsiTheme="majorHAnsi" w:cstheme="majorHAnsi"/>
        </w:rPr>
        <w:t>prekės ženklą</w:t>
      </w:r>
      <w:r w:rsidR="00157B60" w:rsidRPr="00A40B6E">
        <w:rPr>
          <w:rFonts w:asciiTheme="majorHAnsi" w:hAnsiTheme="majorHAnsi" w:cstheme="majorHAnsi"/>
        </w:rPr>
        <w:t>, tad</w:t>
      </w:r>
      <w:r w:rsidRPr="00A40B6E">
        <w:rPr>
          <w:rFonts w:asciiTheme="majorHAnsi" w:hAnsiTheme="majorHAnsi" w:cstheme="majorHAnsi"/>
        </w:rPr>
        <w:t xml:space="preserve"> l</w:t>
      </w:r>
      <w:r w:rsidR="00C40D11" w:rsidRPr="00A40B6E">
        <w:rPr>
          <w:rFonts w:asciiTheme="majorHAnsi" w:hAnsiTheme="majorHAnsi" w:cstheme="majorHAnsi"/>
        </w:rPr>
        <w:t xml:space="preserve">ieka </w:t>
      </w:r>
      <w:r w:rsidR="00157B60" w:rsidRPr="00A40B6E">
        <w:rPr>
          <w:rFonts w:asciiTheme="majorHAnsi" w:hAnsiTheme="majorHAnsi" w:cstheme="majorHAnsi"/>
        </w:rPr>
        <w:t xml:space="preserve">tik </w:t>
      </w:r>
      <w:r w:rsidR="00A77656" w:rsidRPr="00A40B6E">
        <w:rPr>
          <w:rFonts w:asciiTheme="majorHAnsi" w:hAnsiTheme="majorHAnsi" w:cstheme="majorHAnsi"/>
        </w:rPr>
        <w:t xml:space="preserve"> konkur</w:t>
      </w:r>
      <w:r w:rsidR="00877495" w:rsidRPr="00A40B6E">
        <w:rPr>
          <w:rFonts w:asciiTheme="majorHAnsi" w:hAnsiTheme="majorHAnsi" w:cstheme="majorHAnsi"/>
        </w:rPr>
        <w:t>avimas</w:t>
      </w:r>
      <w:r w:rsidR="00C40D11" w:rsidRPr="00A40B6E">
        <w:rPr>
          <w:rFonts w:asciiTheme="majorHAnsi" w:hAnsiTheme="majorHAnsi" w:cstheme="majorHAnsi"/>
        </w:rPr>
        <w:t xml:space="preserve"> kaina</w:t>
      </w:r>
      <w:r w:rsidR="000A533C" w:rsidRPr="00A40B6E">
        <w:rPr>
          <w:rFonts w:asciiTheme="majorHAnsi" w:hAnsiTheme="majorHAnsi" w:cstheme="majorHAnsi"/>
        </w:rPr>
        <w:t xml:space="preserve"> </w:t>
      </w:r>
      <w:r w:rsidR="000A533C" w:rsidRPr="00A40B6E">
        <w:rPr>
          <w:rFonts w:asciiTheme="majorHAnsi" w:hAnsiTheme="majorHAnsi" w:cstheme="majorHAnsi"/>
        </w:rPr>
        <w:fldChar w:fldCharType="begin">
          <w:fldData xml:space="preserve">PEVuZE5vdGU+PENpdGU+PEF1dGhvcj5LZWxseS1HYWdub248L0F1dGhvcj48WWVhcj4yMDExPC9Z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</w:fldData>
        </w:fldChar>
      </w:r>
      <w:r w:rsidR="000A533C" w:rsidRPr="00A40B6E">
        <w:rPr>
          <w:rFonts w:asciiTheme="majorHAnsi" w:hAnsiTheme="majorHAnsi" w:cstheme="majorHAnsi"/>
        </w:rPr>
        <w:instrText xml:space="preserve"> ADDIN EN.CITE </w:instrText>
      </w:r>
      <w:r w:rsidR="000A533C" w:rsidRPr="00A40B6E">
        <w:rPr>
          <w:rFonts w:asciiTheme="majorHAnsi" w:hAnsiTheme="majorHAnsi" w:cstheme="majorHAnsi"/>
        </w:rPr>
        <w:fldChar w:fldCharType="begin">
          <w:fldData xml:space="preserve">PEVuZE5vdGU+PENpdGU+PEF1dGhvcj5LZWxseS1HYWdub248L0F1dGhvcj48WWVhcj4yMDExPC9Z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</w:fldData>
        </w:fldChar>
      </w:r>
      <w:r w:rsidR="000A533C" w:rsidRPr="00A40B6E">
        <w:rPr>
          <w:rFonts w:asciiTheme="majorHAnsi" w:hAnsiTheme="majorHAnsi" w:cstheme="majorHAnsi"/>
        </w:rPr>
        <w:instrText xml:space="preserve"> ADDIN EN.CITE.DATA </w:instrText>
      </w:r>
      <w:r w:rsidR="000A533C" w:rsidRPr="00A40B6E">
        <w:rPr>
          <w:rFonts w:asciiTheme="majorHAnsi" w:hAnsiTheme="majorHAnsi" w:cstheme="majorHAnsi"/>
        </w:rPr>
      </w:r>
      <w:r w:rsidR="000A533C" w:rsidRPr="00A40B6E">
        <w:rPr>
          <w:rFonts w:asciiTheme="majorHAnsi" w:hAnsiTheme="majorHAnsi" w:cstheme="majorHAnsi"/>
        </w:rPr>
        <w:fldChar w:fldCharType="end"/>
      </w:r>
      <w:r w:rsidR="000A533C" w:rsidRPr="00A40B6E">
        <w:rPr>
          <w:rFonts w:asciiTheme="majorHAnsi" w:hAnsiTheme="majorHAnsi" w:cstheme="majorHAnsi"/>
        </w:rPr>
      </w:r>
      <w:r w:rsidR="000A533C" w:rsidRPr="00A40B6E">
        <w:rPr>
          <w:rFonts w:asciiTheme="majorHAnsi" w:hAnsiTheme="majorHAnsi" w:cstheme="majorHAnsi"/>
        </w:rPr>
        <w:fldChar w:fldCharType="separate"/>
      </w:r>
      <w:r w:rsidR="000A533C" w:rsidRPr="00A40B6E">
        <w:rPr>
          <w:rFonts w:asciiTheme="majorHAnsi" w:hAnsiTheme="majorHAnsi" w:cstheme="majorHAnsi"/>
        </w:rPr>
        <w:t>(</w:t>
      </w:r>
      <w:hyperlink w:anchor="_ENREF_3" w:tooltip="Kelly-Gagnon, 2011 #2757" w:history="1">
        <w:r w:rsidRPr="00A40B6E">
          <w:rPr>
            <w:rFonts w:asciiTheme="majorHAnsi" w:hAnsiTheme="majorHAnsi" w:cstheme="majorHAnsi"/>
          </w:rPr>
          <w:t>Kelly-Gagnon, 2011</w:t>
        </w:r>
      </w:hyperlink>
      <w:r w:rsidR="000A533C" w:rsidRPr="00A40B6E">
        <w:rPr>
          <w:rFonts w:asciiTheme="majorHAnsi" w:hAnsiTheme="majorHAnsi" w:cstheme="majorHAnsi"/>
        </w:rPr>
        <w:t xml:space="preserve">; </w:t>
      </w:r>
      <w:hyperlink w:anchor="_ENREF_6" w:tooltip="London economics, 2012 #2756" w:history="1">
        <w:r w:rsidRPr="00A40B6E">
          <w:rPr>
            <w:rFonts w:asciiTheme="majorHAnsi" w:hAnsiTheme="majorHAnsi" w:cstheme="majorHAnsi"/>
          </w:rPr>
          <w:t>London economics, 2012: 15</w:t>
        </w:r>
      </w:hyperlink>
      <w:r w:rsidR="000A533C" w:rsidRPr="00A40B6E">
        <w:rPr>
          <w:rFonts w:asciiTheme="majorHAnsi" w:hAnsiTheme="majorHAnsi" w:cstheme="majorHAnsi"/>
        </w:rPr>
        <w:t>)</w:t>
      </w:r>
      <w:r w:rsidR="000A533C" w:rsidRPr="00A40B6E">
        <w:rPr>
          <w:rFonts w:asciiTheme="majorHAnsi" w:hAnsiTheme="majorHAnsi" w:cstheme="majorHAnsi"/>
        </w:rPr>
        <w:fldChar w:fldCharType="end"/>
      </w:r>
      <w:r w:rsidR="00D35668" w:rsidRPr="00A40B6E">
        <w:rPr>
          <w:rFonts w:asciiTheme="majorHAnsi" w:hAnsiTheme="majorHAnsi" w:cstheme="majorHAnsi"/>
        </w:rPr>
        <w:t>, pvz.</w:t>
      </w:r>
      <w:r w:rsidR="00157B60" w:rsidRPr="00A40B6E">
        <w:rPr>
          <w:rFonts w:asciiTheme="majorHAnsi" w:hAnsiTheme="majorHAnsi" w:cstheme="majorHAnsi"/>
        </w:rPr>
        <w:t>,</w:t>
      </w:r>
      <w:r w:rsidR="00D35668" w:rsidRPr="00A40B6E">
        <w:rPr>
          <w:rFonts w:asciiTheme="majorHAnsi" w:hAnsiTheme="majorHAnsi" w:cstheme="majorHAnsi"/>
        </w:rPr>
        <w:t xml:space="preserve"> ją m</w:t>
      </w:r>
      <w:r w:rsidR="00157B60" w:rsidRPr="00A40B6E">
        <w:rPr>
          <w:rFonts w:asciiTheme="majorHAnsi" w:hAnsiTheme="majorHAnsi" w:cstheme="majorHAnsi"/>
        </w:rPr>
        <w:t>a</w:t>
      </w:r>
      <w:r w:rsidR="00D35668" w:rsidRPr="00A40B6E">
        <w:rPr>
          <w:rFonts w:asciiTheme="majorHAnsi" w:hAnsiTheme="majorHAnsi" w:cstheme="majorHAnsi"/>
        </w:rPr>
        <w:t>žinant</w:t>
      </w:r>
      <w:r w:rsidR="00D87452" w:rsidRPr="00A40B6E">
        <w:rPr>
          <w:rFonts w:asciiTheme="majorHAnsi" w:hAnsiTheme="majorHAnsi" w:cstheme="majorHAnsi"/>
        </w:rPr>
        <w:t xml:space="preserve">. </w:t>
      </w:r>
      <w:r w:rsidR="007F4562" w:rsidRPr="00A40B6E">
        <w:rPr>
          <w:rFonts w:asciiTheme="majorHAnsi" w:hAnsiTheme="majorHAnsi" w:cstheme="majorHAnsi"/>
        </w:rPr>
        <w:t>Tokia k</w:t>
      </w:r>
      <w:r w:rsidR="00D35668" w:rsidRPr="00A40B6E">
        <w:rPr>
          <w:rFonts w:asciiTheme="majorHAnsi" w:hAnsiTheme="majorHAnsi" w:cstheme="majorHAnsi"/>
        </w:rPr>
        <w:t xml:space="preserve">onkurencija </w:t>
      </w:r>
      <w:r w:rsidR="00E3063E" w:rsidRPr="00A40B6E">
        <w:rPr>
          <w:rFonts w:asciiTheme="majorHAnsi" w:hAnsiTheme="majorHAnsi" w:cstheme="majorHAnsi"/>
        </w:rPr>
        <w:t xml:space="preserve">gali didinti prekių su bendrine pakuote </w:t>
      </w:r>
      <w:proofErr w:type="spellStart"/>
      <w:r w:rsidR="00E3063E" w:rsidRPr="00A40B6E">
        <w:rPr>
          <w:rFonts w:asciiTheme="majorHAnsi" w:hAnsiTheme="majorHAnsi" w:cstheme="majorHAnsi"/>
        </w:rPr>
        <w:t>įperkamumą</w:t>
      </w:r>
      <w:proofErr w:type="spellEnd"/>
      <w:r w:rsidR="00E3063E" w:rsidRPr="00A40B6E">
        <w:rPr>
          <w:rFonts w:asciiTheme="majorHAnsi" w:hAnsiTheme="majorHAnsi" w:cstheme="majorHAnsi"/>
        </w:rPr>
        <w:t xml:space="preserve"> (ypač </w:t>
      </w:r>
      <w:r w:rsidR="00082A9C" w:rsidRPr="00A40B6E">
        <w:rPr>
          <w:rFonts w:asciiTheme="majorHAnsi" w:hAnsiTheme="majorHAnsi" w:cstheme="majorHAnsi"/>
        </w:rPr>
        <w:t xml:space="preserve">– </w:t>
      </w:r>
      <w:r w:rsidR="005649BB" w:rsidRPr="00A40B6E">
        <w:rPr>
          <w:rFonts w:asciiTheme="majorHAnsi" w:hAnsiTheme="majorHAnsi" w:cstheme="majorHAnsi"/>
        </w:rPr>
        <w:t>mažesnių pajamų gyventojų tarpe</w:t>
      </w:r>
      <w:r w:rsidR="000A533C" w:rsidRPr="00A40B6E">
        <w:rPr>
          <w:rFonts w:asciiTheme="majorHAnsi" w:hAnsiTheme="majorHAnsi" w:cstheme="majorHAnsi"/>
        </w:rPr>
        <w:t xml:space="preserve">) </w:t>
      </w:r>
      <w:r w:rsidR="000A533C" w:rsidRPr="00A40B6E">
        <w:rPr>
          <w:rFonts w:asciiTheme="majorHAnsi" w:hAnsiTheme="majorHAnsi" w:cstheme="majorHAnsi"/>
        </w:rPr>
        <w:fldChar w:fldCharType="begin"/>
      </w:r>
      <w:r w:rsidR="000A533C" w:rsidRPr="00A40B6E">
        <w:rPr>
          <w:rFonts w:asciiTheme="majorHAnsi" w:hAnsiTheme="majorHAnsi" w:cstheme="majorHAnsi"/>
        </w:rPr>
        <w:instrText xml:space="preserve"> ADDIN EN.CITE &lt;EndNote&gt;&lt;Cite&gt;&lt;Author&gt;London economics&lt;/Author&gt;&lt;Year&gt;2012&lt;/Year&gt;&lt;RecNum&gt;2756&lt;/RecNum&gt;&lt;Suffix&gt;: 15&lt;/Suffix&gt;&lt;DisplayText&gt;(London economics, 2012: 15)&lt;/DisplayText&gt;&lt;record&gt;&lt;rec-number&gt;2756&lt;/rec-number&gt;&lt;foreign-keys&gt;&lt;key app="EN" db-id="50wxdpzd9vd5r7e9t5b595djrfpttrxw9avp"&gt;2756&lt;/key&gt;&lt;/foreign-keys&gt;&lt;ref-type name="Journal Article"&gt;17&lt;/ref-type&gt;&lt;contributors&gt;&lt;authors&gt;&lt;author&gt;&lt;style face="normal" font="default" charset="186" size="100%"&gt;London economics,&lt;/style&gt;&lt;/author&gt;&lt;/authors&gt;&lt;/contributors&gt;&lt;titles&gt;&lt;title&gt;&lt;style face="normal" font="default" size="100%"&gt;The role of packaging imagery on consumer&lt;/style&gt;&lt;style face="normal" font="default" charset="186" size="100%"&gt; &lt;/style&gt;&lt;style face="normal" font="default" size="100%"&gt;preferences for experience goods&lt;/style&gt;&lt;style face="normal" font="default" charset="186" size="100%"&gt;. A consumer behavioural experiment&lt;/style&gt;&lt;/title&gt;&lt;/titles&gt;&lt;pages&gt;&lt;style face="normal" font="default" charset="186" size="100%"&gt;46&lt;/style&gt;&lt;/pages&gt;&lt;dates&gt;&lt;year&gt;&lt;style face="normal" font="default" charset="186" size="100%"&gt;2012&lt;/style&gt;&lt;/year&gt;&lt;/dates&gt;&lt;urls&gt;&lt;related-urls&gt;&lt;url&gt;http://tobacco.cleartheair.org.hk/wp-content/uploads/2016/01/London-Economics-The-role-of-packaging-imagery-on-consumer-preferences-for-experience-goods-report-09-03-2012.pdf&lt;/url&gt;&lt;/related-urls&gt;&lt;/urls&gt;&lt;/record&gt;&lt;/Cite&gt;&lt;/EndNote&gt;</w:instrText>
      </w:r>
      <w:r w:rsidR="000A533C" w:rsidRPr="00A40B6E">
        <w:rPr>
          <w:rFonts w:asciiTheme="majorHAnsi" w:hAnsiTheme="majorHAnsi" w:cstheme="majorHAnsi"/>
        </w:rPr>
        <w:fldChar w:fldCharType="separate"/>
      </w:r>
      <w:r w:rsidR="000A533C" w:rsidRPr="00A40B6E">
        <w:rPr>
          <w:rFonts w:asciiTheme="majorHAnsi" w:hAnsiTheme="majorHAnsi" w:cstheme="majorHAnsi"/>
        </w:rPr>
        <w:t>(</w:t>
      </w:r>
      <w:hyperlink w:anchor="_ENREF_6" w:tooltip="London economics, 2012 #2756" w:history="1">
        <w:r w:rsidRPr="00A40B6E">
          <w:rPr>
            <w:rFonts w:asciiTheme="majorHAnsi" w:hAnsiTheme="majorHAnsi" w:cstheme="majorHAnsi"/>
          </w:rPr>
          <w:t>London economics, 2012: 15</w:t>
        </w:r>
      </w:hyperlink>
      <w:r w:rsidR="000A533C" w:rsidRPr="00A40B6E">
        <w:rPr>
          <w:rFonts w:asciiTheme="majorHAnsi" w:hAnsiTheme="majorHAnsi" w:cstheme="majorHAnsi"/>
        </w:rPr>
        <w:t>)</w:t>
      </w:r>
      <w:r w:rsidR="000A533C" w:rsidRPr="00A40B6E">
        <w:rPr>
          <w:rFonts w:asciiTheme="majorHAnsi" w:hAnsiTheme="majorHAnsi" w:cstheme="majorHAnsi"/>
        </w:rPr>
        <w:fldChar w:fldCharType="end"/>
      </w:r>
      <w:r w:rsidR="000A533C" w:rsidRPr="00A40B6E">
        <w:rPr>
          <w:rFonts w:asciiTheme="majorHAnsi" w:hAnsiTheme="majorHAnsi" w:cstheme="majorHAnsi"/>
        </w:rPr>
        <w:t xml:space="preserve"> ir </w:t>
      </w:r>
      <w:r w:rsidR="00D87452" w:rsidRPr="00A40B6E">
        <w:rPr>
          <w:rFonts w:asciiTheme="majorHAnsi" w:hAnsiTheme="majorHAnsi" w:cstheme="majorHAnsi"/>
        </w:rPr>
        <w:t xml:space="preserve">tai </w:t>
      </w:r>
      <w:r w:rsidR="00E3063E" w:rsidRPr="00A40B6E">
        <w:rPr>
          <w:rFonts w:asciiTheme="majorHAnsi" w:hAnsiTheme="majorHAnsi" w:cstheme="majorHAnsi"/>
        </w:rPr>
        <w:t>gali turėti priešingą poveikį –</w:t>
      </w:r>
      <w:r w:rsidR="000A533C" w:rsidRPr="00A40B6E">
        <w:rPr>
          <w:rFonts w:asciiTheme="majorHAnsi" w:hAnsiTheme="majorHAnsi" w:cstheme="majorHAnsi"/>
        </w:rPr>
        <w:t xml:space="preserve"> išaugusį</w:t>
      </w:r>
      <w:r w:rsidR="00D87452" w:rsidRPr="00A40B6E">
        <w:rPr>
          <w:rFonts w:asciiTheme="majorHAnsi" w:hAnsiTheme="majorHAnsi" w:cstheme="majorHAnsi"/>
        </w:rPr>
        <w:t xml:space="preserve"> tabako</w:t>
      </w:r>
      <w:r w:rsidR="000A533C" w:rsidRPr="00A40B6E">
        <w:rPr>
          <w:rFonts w:asciiTheme="majorHAnsi" w:hAnsiTheme="majorHAnsi" w:cstheme="majorHAnsi"/>
        </w:rPr>
        <w:t xml:space="preserve"> gaminių vartojimą</w:t>
      </w:r>
      <w:r w:rsidR="00C45B35" w:rsidRPr="00A40B6E">
        <w:rPr>
          <w:rFonts w:asciiTheme="majorHAnsi" w:hAnsiTheme="majorHAnsi" w:cstheme="majorHAnsi"/>
        </w:rPr>
        <w:t>.</w:t>
      </w:r>
    </w:p>
    <w:p w14:paraId="080F4DDD" w14:textId="37C8AF41" w:rsidR="009244B3" w:rsidRPr="00A40B6E" w:rsidRDefault="00CC2C4F" w:rsidP="00CC2C4F">
      <w:pPr>
        <w:pStyle w:val="ListParagraph"/>
        <w:numPr>
          <w:ilvl w:val="1"/>
          <w:numId w:val="25"/>
        </w:numPr>
        <w:spacing w:line="256" w:lineRule="auto"/>
        <w:rPr>
          <w:rFonts w:asciiTheme="majorHAnsi" w:hAnsiTheme="majorHAnsi" w:cstheme="majorHAnsi"/>
        </w:rPr>
      </w:pPr>
      <w:r w:rsidRPr="00A40B6E">
        <w:rPr>
          <w:rFonts w:asciiTheme="majorHAnsi" w:hAnsiTheme="majorHAnsi" w:cstheme="majorHAnsi"/>
          <w:b/>
        </w:rPr>
        <w:t>Bendrinės pakuotės įvedimas būtų palankesnis pigesnių cigarečių gamintojams.</w:t>
      </w:r>
      <w:r w:rsidRPr="00A40B6E">
        <w:rPr>
          <w:rFonts w:asciiTheme="majorHAnsi" w:hAnsiTheme="majorHAnsi" w:cstheme="majorHAnsi"/>
        </w:rPr>
        <w:t xml:space="preserve"> Įvairūs tyrimai bei eksperimentinės studijos rodo, kad, įvedus bendrinę pakuotę brangesnių (tam tikrais atvejais ir vidutinių) prekės ženklų gamintojai (tabako, maisto ir pan.) savo rinkos dalį užleidžia gaminantiems pigesnę produkciją, nes nebelieka išvaizdos skirtumo tarp pigių ir brangių produktų </w:t>
      </w:r>
      <w:r w:rsidRPr="00A40B6E">
        <w:rPr>
          <w:rFonts w:asciiTheme="majorHAnsi" w:hAnsiTheme="majorHAnsi" w:cstheme="majorHAnsi"/>
        </w:rPr>
        <w:fldChar w:fldCharType="begin"/>
      </w:r>
      <w:r w:rsidRPr="00A40B6E">
        <w:rPr>
          <w:rFonts w:asciiTheme="majorHAnsi" w:hAnsiTheme="majorHAnsi" w:cstheme="majorHAnsi"/>
        </w:rPr>
        <w:instrText xml:space="preserve"> ADDIN EN.CITE &lt;EndNote&gt;&lt;Cite&gt;&lt;Author&gt;Finance&amp;apos;&lt;/Author&gt;&lt;Year&gt;2017&lt;/Year&gt;&lt;RecNum&gt;2755&lt;/RecNum&gt;&lt;Suffix&gt;: 4&lt;/Suffix&gt;&lt;DisplayText&gt;(Finance&amp;apos;, 2017: 4; Scollo, Zacher, Coomber, Bayly, &amp;amp; Wakefield, 2015)&lt;/DisplayText&gt;&lt;record&gt;&lt;rec-number&gt;2755&lt;/rec-number&gt;&lt;foreign-keys&gt;&lt;key app="EN" db-id="50wxdpzd9vd5r7e9t5b595djrfpttrxw9avp"&gt;2755&lt;/key&gt;&lt;/foreign-keys&gt;&lt;ref-type name="Journal Article"&gt;17&lt;/ref-type&gt;&lt;contributors&gt;&lt;authors&gt;&lt;author&gt;&lt;style face="normal" font="default" charset="186" size="100%"&gt;Brand Finance&amp;apos;&lt;/style&gt;&lt;/author&gt;&lt;/authors&gt;&lt;/contributors&gt;&lt;titles&gt;&lt;title&gt;&lt;style face="normal" font="default" charset="186" size="100%"&gt;Plain packaging 2017. Brand impact analysis&lt;/style&gt;&lt;/title&gt;&lt;/titles&gt;&lt;pages&gt;&lt;style face="normal" font="default" charset="186" size="100%"&gt;13&lt;/style&gt;&lt;/pages&gt;&lt;dates&gt;&lt;year&gt;&lt;style face="normal" font="default" charset="186" size="100%"&gt;2017&lt;/style&gt;&lt;/year&gt;&lt;/dates&gt;&lt;urls&gt;&lt;related-urls&gt;&lt;url&gt;http://brandirectory.com/BF-Plain-Packaging-Report-EMBARGO-7th-December-2017.pdf&lt;/url&gt;&lt;/related-urls&gt;&lt;/urls&gt;&lt;/record&gt;&lt;/Cite&gt;&lt;Cite&gt;&lt;Author&gt;Scollo&lt;/Author&gt;&lt;Year&gt;2015&lt;/Year&gt;&lt;RecNum&gt;2754&lt;/RecNum&gt;&lt;record&gt;&lt;rec-number&gt;2754&lt;/rec-number&gt;&lt;foreign-keys&gt;&lt;key app="EN" db-id="50wxdpzd9vd5r7e9t5b595djrfpttrxw9avp"&gt;2754&lt;/key&gt;&lt;/foreign-keys&gt;&lt;ref-type name="Journal Article"&gt;17&lt;/ref-type&gt;&lt;contributors&gt;&lt;authors&gt;&lt;author&gt;Scollo, Michelle&lt;/author&gt;&lt;author&gt;Zacher, Meghan&lt;/author&gt;&lt;author&gt;Coomber, Kerri&lt;/author&gt;&lt;author&gt;Bayly, Megan&lt;/author&gt;&lt;author&gt;Wakefield, Melanie&lt;/author&gt;&lt;/authors&gt;&lt;/contributors&gt;&lt;titles&gt;&lt;title&gt;Changes in use of types of tobacco products by pack sizes and price segments, prices paid and consumption following the introduction of plain packaging in Australia&lt;/title&gt;&lt;secondary-title&gt;Tobacco control&lt;/secondary-title&gt;&lt;/titles&gt;&lt;periodical&gt;&lt;full-title&gt;Tobacco control&lt;/full-title&gt;&lt;/periodical&gt;&lt;pages&gt;ii66-ii75&lt;/pages&gt;&lt;volume&gt;24&lt;/volume&gt;&lt;number&gt;Suppl 2&lt;/number&gt;&lt;dates&gt;&lt;year&gt;2015&lt;/year&gt;&lt;/dates&gt;&lt;isbn&gt;0964-4563&lt;/isbn&gt;&lt;urls&gt;&lt;related-urls&gt;&lt;url&gt;http://tobaccocontrol.bmj.com/content/24/Suppl_2/ii66&lt;/url&gt;&lt;/related-urls&gt;&lt;/urls&gt;&lt;/record&gt;&lt;/Cite&gt;&lt;/EndNote&gt;</w:instrText>
      </w:r>
      <w:r w:rsidRPr="00A40B6E">
        <w:rPr>
          <w:rFonts w:asciiTheme="majorHAnsi" w:hAnsiTheme="majorHAnsi" w:cstheme="majorHAnsi"/>
        </w:rPr>
        <w:fldChar w:fldCharType="separate"/>
      </w:r>
      <w:r w:rsidRPr="00A40B6E">
        <w:rPr>
          <w:rFonts w:asciiTheme="majorHAnsi" w:hAnsiTheme="majorHAnsi" w:cstheme="majorHAnsi"/>
        </w:rPr>
        <w:t>(</w:t>
      </w:r>
      <w:hyperlink w:anchor="_ENREF_2" w:tooltip="Finance', 2017 #2755" w:history="1">
        <w:r w:rsidRPr="00A40B6E">
          <w:rPr>
            <w:rFonts w:asciiTheme="majorHAnsi" w:hAnsiTheme="majorHAnsi" w:cstheme="majorHAnsi"/>
          </w:rPr>
          <w:t>Finance', 2017: 4</w:t>
        </w:r>
      </w:hyperlink>
      <w:r w:rsidRPr="00A40B6E">
        <w:rPr>
          <w:rFonts w:asciiTheme="majorHAnsi" w:hAnsiTheme="majorHAnsi" w:cstheme="majorHAnsi"/>
        </w:rPr>
        <w:t xml:space="preserve">; </w:t>
      </w:r>
      <w:hyperlink w:anchor="_ENREF_7" w:tooltip="Scollo, 2015 #2754" w:history="1">
        <w:r w:rsidRPr="00A40B6E">
          <w:rPr>
            <w:rFonts w:asciiTheme="majorHAnsi" w:hAnsiTheme="majorHAnsi" w:cstheme="majorHAnsi"/>
          </w:rPr>
          <w:t>Scollo, Zacher, Coomber, Bayly, &amp; Wakefield, 2015</w:t>
        </w:r>
      </w:hyperlink>
      <w:r w:rsidRPr="00A40B6E">
        <w:rPr>
          <w:rFonts w:asciiTheme="majorHAnsi" w:hAnsiTheme="majorHAnsi" w:cstheme="majorHAnsi"/>
        </w:rPr>
        <w:t>)</w:t>
      </w:r>
      <w:r w:rsidRPr="00A40B6E">
        <w:rPr>
          <w:rFonts w:asciiTheme="majorHAnsi" w:hAnsiTheme="majorHAnsi" w:cstheme="majorHAnsi"/>
        </w:rPr>
        <w:fldChar w:fldCharType="end"/>
      </w:r>
      <w:r w:rsidRPr="00A40B6E">
        <w:rPr>
          <w:rFonts w:asciiTheme="majorHAnsi" w:hAnsiTheme="majorHAnsi" w:cstheme="majorHAnsi"/>
        </w:rPr>
        <w:t>.</w:t>
      </w:r>
    </w:p>
    <w:p w14:paraId="28F81F5D" w14:textId="39AFF720" w:rsidR="005879A6" w:rsidRPr="00A40B6E" w:rsidRDefault="006E16F3" w:rsidP="006E16F3">
      <w:pPr>
        <w:spacing w:line="256" w:lineRule="auto"/>
        <w:rPr>
          <w:rFonts w:asciiTheme="majorHAnsi" w:hAnsiTheme="majorHAnsi" w:cstheme="majorHAnsi"/>
        </w:rPr>
      </w:pPr>
      <w:r w:rsidRPr="00A40B6E">
        <w:rPr>
          <w:rFonts w:asciiTheme="majorHAnsi" w:hAnsiTheme="majorHAnsi" w:cstheme="majorHAnsi"/>
        </w:rPr>
        <w:t>T</w:t>
      </w:r>
      <w:r w:rsidR="005879A6" w:rsidRPr="00A40B6E">
        <w:rPr>
          <w:rFonts w:asciiTheme="majorHAnsi" w:hAnsiTheme="majorHAnsi" w:cstheme="majorHAnsi"/>
        </w:rPr>
        <w:t>ai rodo, kad logotipų ir prekinių ženklų ant pakuotės draudimas gali sukelti ir kitų pasekmių, kurių poveikį būtina įvertinti.</w:t>
      </w:r>
    </w:p>
    <w:p w14:paraId="7590BF13" w14:textId="30092970" w:rsidR="005A5426" w:rsidRPr="00A40B6E" w:rsidRDefault="005A5426" w:rsidP="009244B3">
      <w:pPr>
        <w:pStyle w:val="Heading2"/>
        <w:numPr>
          <w:ilvl w:val="0"/>
          <w:numId w:val="29"/>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A40B6E">
        <w:rPr>
          <w:rFonts w:asciiTheme="majorHAnsi" w:hAnsiTheme="majorHAnsi" w:cstheme="majorHAnsi"/>
        </w:rPr>
        <w:t>Dėl tabako gaminių pardavimo tiesiogiai neprieinamu būdu</w:t>
      </w:r>
    </w:p>
    <w:p w14:paraId="327E1C50" w14:textId="0089E74C" w:rsidR="00F763F2" w:rsidRPr="00A40B6E" w:rsidRDefault="00F763F2" w:rsidP="00C82F88">
      <w:pPr>
        <w:pStyle w:val="NoSpacing"/>
        <w:rPr>
          <w:rFonts w:asciiTheme="majorHAnsi" w:hAnsiTheme="majorHAnsi" w:cstheme="majorHAnsi"/>
        </w:rPr>
      </w:pPr>
      <w:r w:rsidRPr="00A40B6E">
        <w:rPr>
          <w:rFonts w:asciiTheme="majorHAnsi" w:hAnsiTheme="majorHAnsi" w:cstheme="majorHAnsi"/>
        </w:rPr>
        <w:t xml:space="preserve">Projekto 11 straipsnis siūlo uždrausti mažmeninėse prekybos vietose viešai eksponuoti (demonstruoti) tabako gaminius, su tabako gaminiais susijusius gaminius ir įrenginius, skirtus šiems gaminiams vartoti. 13 straipsniu būtų draudžiama eksponuoti (demonstruoti) tabako gaminius, su tabako gaminiais susijusius gaminius, įrenginius, skirtus šiems gaminiams vartoti (su sąlyga, kad šie gaminiai ir (ar) įrenginiai nėra eksponuojami ar matomi šių parduotuvių ar skyrių išorinėse vitrinose ir (ar) pro kitus išorinius šios parduotuvės įrenginius). </w:t>
      </w:r>
    </w:p>
    <w:p w14:paraId="4A83BD9D" w14:textId="189C0D6E" w:rsidR="00152AFE" w:rsidRPr="00A40B6E" w:rsidRDefault="00152AFE" w:rsidP="00152AFE">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heme="majorHAnsi" w:eastAsia="Times New Roman" w:hAnsiTheme="majorHAnsi" w:cstheme="majorHAnsi"/>
        </w:rPr>
      </w:pPr>
      <w:r w:rsidRPr="00A40B6E">
        <w:rPr>
          <w:rFonts w:asciiTheme="majorHAnsi" w:eastAsia="Times New Roman" w:hAnsiTheme="majorHAnsi" w:cstheme="majorHAnsi"/>
          <w:b/>
          <w:bCs/>
        </w:rPr>
        <w:t xml:space="preserve">Kodėl reikia dar vieno draudimo </w:t>
      </w:r>
      <w:r w:rsidR="00535BC7" w:rsidRPr="00A40B6E">
        <w:rPr>
          <w:rFonts w:asciiTheme="majorHAnsi" w:eastAsia="Times New Roman" w:hAnsiTheme="majorHAnsi" w:cstheme="majorHAnsi"/>
          <w:b/>
          <w:bCs/>
        </w:rPr>
        <w:t>–</w:t>
      </w:r>
      <w:r w:rsidRPr="00A40B6E">
        <w:rPr>
          <w:rFonts w:asciiTheme="majorHAnsi" w:eastAsia="Times New Roman" w:hAnsiTheme="majorHAnsi" w:cstheme="majorHAnsi"/>
          <w:b/>
          <w:bCs/>
        </w:rPr>
        <w:t xml:space="preserve"> nepagrįsta. </w:t>
      </w:r>
      <w:r w:rsidR="00535BC7" w:rsidRPr="00A40B6E">
        <w:rPr>
          <w:rFonts w:asciiTheme="majorHAnsi" w:eastAsia="Times New Roman" w:hAnsiTheme="majorHAnsi" w:cstheme="majorHAnsi"/>
        </w:rPr>
        <w:t>Įstatymo projekto A</w:t>
      </w:r>
      <w:r w:rsidRPr="00A40B6E">
        <w:rPr>
          <w:rFonts w:asciiTheme="majorHAnsi" w:eastAsia="Times New Roman" w:hAnsiTheme="majorHAnsi" w:cstheme="majorHAnsi"/>
        </w:rPr>
        <w:t>iškinamajame rašte yra teigiama, kad</w:t>
      </w:r>
      <w:r w:rsidR="00535BC7" w:rsidRPr="00A40B6E">
        <w:rPr>
          <w:rFonts w:asciiTheme="majorHAnsi" w:eastAsia="Times New Roman" w:hAnsiTheme="majorHAnsi" w:cstheme="majorHAnsi"/>
        </w:rPr>
        <w:t>,</w:t>
      </w:r>
      <w:r w:rsidRPr="00A40B6E">
        <w:rPr>
          <w:rFonts w:asciiTheme="majorHAnsi" w:eastAsia="Times New Roman" w:hAnsiTheme="majorHAnsi" w:cstheme="majorHAnsi"/>
        </w:rPr>
        <w:t xml:space="preserve"> įvedus pardavim</w:t>
      </w:r>
      <w:r w:rsidR="00535BC7" w:rsidRPr="00A40B6E">
        <w:rPr>
          <w:rFonts w:asciiTheme="majorHAnsi" w:eastAsia="Times New Roman" w:hAnsiTheme="majorHAnsi" w:cstheme="majorHAnsi"/>
        </w:rPr>
        <w:t>ą</w:t>
      </w:r>
      <w:r w:rsidRPr="00A40B6E">
        <w:rPr>
          <w:rFonts w:asciiTheme="majorHAnsi" w:eastAsia="Times New Roman" w:hAnsiTheme="majorHAnsi" w:cstheme="majorHAnsi"/>
        </w:rPr>
        <w:t xml:space="preserve"> tiesiogiai neprieinamu būdu</w:t>
      </w:r>
      <w:r w:rsidR="00535BC7" w:rsidRPr="00A40B6E">
        <w:rPr>
          <w:rFonts w:asciiTheme="majorHAnsi" w:eastAsia="Times New Roman" w:hAnsiTheme="majorHAnsi" w:cstheme="majorHAnsi"/>
        </w:rPr>
        <w:t>,</w:t>
      </w:r>
      <w:r w:rsidRPr="00A40B6E">
        <w:rPr>
          <w:rFonts w:asciiTheme="majorHAnsi" w:eastAsia="Times New Roman" w:hAnsiTheme="majorHAnsi" w:cstheme="majorHAnsi"/>
        </w:rPr>
        <w:t xml:space="preserve"> vaikai bus apsaugoti nuo rūkymo, pavėlintas amžius nuo kada j</w:t>
      </w:r>
      <w:r w:rsidR="00535BC7" w:rsidRPr="00A40B6E">
        <w:rPr>
          <w:rFonts w:asciiTheme="majorHAnsi" w:eastAsia="Times New Roman" w:hAnsiTheme="majorHAnsi" w:cstheme="majorHAnsi"/>
        </w:rPr>
        <w:t xml:space="preserve">auni žmonės pradeda rūkyti, </w:t>
      </w:r>
      <w:r w:rsidRPr="00A40B6E">
        <w:rPr>
          <w:rFonts w:asciiTheme="majorHAnsi" w:eastAsia="Times New Roman" w:hAnsiTheme="majorHAnsi" w:cstheme="majorHAnsi"/>
        </w:rPr>
        <w:t>sumažintas rūkymo patrauklumas. Atkreipiame dėmesį, kad draudimas tabaką parduoti nepilnamečiams galioja (ir galios) nepriklausomai</w:t>
      </w:r>
      <w:r w:rsidR="000B5666" w:rsidRPr="00A40B6E">
        <w:rPr>
          <w:rFonts w:asciiTheme="majorHAnsi" w:eastAsia="Times New Roman" w:hAnsiTheme="majorHAnsi" w:cstheme="majorHAnsi"/>
        </w:rPr>
        <w:t xml:space="preserve"> nuo</w:t>
      </w:r>
      <w:r w:rsidRPr="00A40B6E">
        <w:rPr>
          <w:rFonts w:asciiTheme="majorHAnsi" w:eastAsia="Times New Roman" w:hAnsiTheme="majorHAnsi" w:cstheme="majorHAnsi"/>
        </w:rPr>
        <w:t xml:space="preserve"> pardavimo būdo.  </w:t>
      </w:r>
    </w:p>
    <w:p w14:paraId="457AFB31" w14:textId="4E24CD86" w:rsidR="00152AFE" w:rsidRPr="00A40B6E" w:rsidRDefault="00152AFE" w:rsidP="00152AFE">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heme="majorHAnsi" w:eastAsia="Times New Roman" w:hAnsiTheme="majorHAnsi" w:cstheme="majorHAnsi"/>
        </w:rPr>
      </w:pPr>
      <w:r w:rsidRPr="00A40B6E">
        <w:rPr>
          <w:rFonts w:asciiTheme="majorHAnsi" w:eastAsia="Times New Roman" w:hAnsiTheme="majorHAnsi" w:cstheme="majorHAnsi"/>
        </w:rPr>
        <w:t>Svarbu pastebėti, kad Lietuvoje jau veikia labai griežta tabako kontrolės sistema</w:t>
      </w:r>
      <w:r w:rsidR="00911F8F" w:rsidRPr="00A40B6E">
        <w:rPr>
          <w:rFonts w:asciiTheme="majorHAnsi" w:eastAsia="Times New Roman" w:hAnsiTheme="majorHAnsi" w:cstheme="majorHAnsi"/>
        </w:rPr>
        <w:t xml:space="preserve">. Yra draudžiama prekiauti tabako gaminiais naudojant prekybos automatus, nuotoline prekyba, </w:t>
      </w:r>
      <w:r w:rsidR="00911F8F" w:rsidRPr="00A40B6E">
        <w:t>parduotuvėse, kioskuose ir kitose mažmeninės prekybos vietose, kuriose vaikams skirtų prekių dalis sudaro 50 ir daugiau procentų mažmeninės prekių apyvartos, farmacijos įmonėse, sveikatos priežiūros, švietimo, kultūros įstaigose, interneto kavinėse (interneto klubuose ir pan.). Yra d</w:t>
      </w:r>
      <w:r w:rsidRPr="00A40B6E">
        <w:rPr>
          <w:rFonts w:asciiTheme="majorHAnsi" w:eastAsia="Times New Roman" w:hAnsiTheme="majorHAnsi" w:cstheme="majorHAnsi"/>
        </w:rPr>
        <w:t xml:space="preserve">raudžiama tabako ir susijusių gaminių reklama, taip pat </w:t>
      </w:r>
      <w:r w:rsidR="005649BB" w:rsidRPr="00A40B6E">
        <w:rPr>
          <w:rFonts w:asciiTheme="majorHAnsi" w:eastAsia="Times New Roman" w:hAnsiTheme="majorHAnsi" w:cstheme="majorHAnsi"/>
        </w:rPr>
        <w:t xml:space="preserve">– </w:t>
      </w:r>
      <w:r w:rsidRPr="00A40B6E">
        <w:rPr>
          <w:rFonts w:asciiTheme="majorHAnsi" w:eastAsia="Times New Roman" w:hAnsiTheme="majorHAnsi" w:cstheme="majorHAnsi"/>
        </w:rPr>
        <w:t>nepilnamečiams uždrausta rūkyti. Projektas nepagrindžia, kodėl reikalinga</w:t>
      </w:r>
      <w:r w:rsidR="00535BC7" w:rsidRPr="00A40B6E">
        <w:rPr>
          <w:rFonts w:asciiTheme="majorHAnsi" w:eastAsia="Times New Roman" w:hAnsiTheme="majorHAnsi" w:cstheme="majorHAnsi"/>
        </w:rPr>
        <w:t>s būtent dar vienas draudimas</w:t>
      </w:r>
      <w:r w:rsidRPr="00A40B6E">
        <w:rPr>
          <w:rFonts w:asciiTheme="majorHAnsi" w:eastAsia="Times New Roman" w:hAnsiTheme="majorHAnsi" w:cstheme="majorHAnsi"/>
        </w:rPr>
        <w:t xml:space="preserve"> ar kuo jo įvedimas reikšmingai prisideda prie visuomenės </w:t>
      </w:r>
      <w:r w:rsidR="005649BB" w:rsidRPr="00A40B6E">
        <w:rPr>
          <w:rFonts w:asciiTheme="majorHAnsi" w:eastAsia="Times New Roman" w:hAnsiTheme="majorHAnsi" w:cstheme="majorHAnsi"/>
        </w:rPr>
        <w:t xml:space="preserve">sveikatinimo </w:t>
      </w:r>
      <w:r w:rsidRPr="00A40B6E">
        <w:rPr>
          <w:rFonts w:asciiTheme="majorHAnsi" w:eastAsia="Times New Roman" w:hAnsiTheme="majorHAnsi" w:cstheme="majorHAnsi"/>
        </w:rPr>
        <w:t xml:space="preserve">tikslų. </w:t>
      </w:r>
    </w:p>
    <w:p w14:paraId="0662FB87" w14:textId="00F4A73C" w:rsidR="00E6172D" w:rsidRPr="00A40B6E" w:rsidRDefault="00152AFE" w:rsidP="00152AFE">
      <w:pPr>
        <w:pStyle w:val="NoSpacing"/>
        <w:numPr>
          <w:ilvl w:val="0"/>
          <w:numId w:val="31"/>
        </w:numPr>
        <w:rPr>
          <w:rFonts w:asciiTheme="majorHAnsi" w:hAnsiTheme="majorHAnsi" w:cstheme="majorHAnsi"/>
        </w:rPr>
      </w:pPr>
      <w:r w:rsidRPr="00A40B6E">
        <w:rPr>
          <w:rFonts w:asciiTheme="majorHAnsi" w:hAnsiTheme="majorHAnsi" w:cstheme="majorHAnsi"/>
          <w:b/>
          <w:bCs/>
        </w:rPr>
        <w:t xml:space="preserve">Pardavimo tiesiogiai neprieinamu būdu poveikis </w:t>
      </w:r>
      <w:r w:rsidR="00A55070" w:rsidRPr="00A40B6E">
        <w:rPr>
          <w:rFonts w:asciiTheme="majorHAnsi" w:hAnsiTheme="majorHAnsi" w:cstheme="majorHAnsi"/>
          <w:b/>
          <w:bCs/>
        </w:rPr>
        <w:t>–</w:t>
      </w:r>
      <w:r w:rsidRPr="00A40B6E">
        <w:rPr>
          <w:rFonts w:asciiTheme="majorHAnsi" w:hAnsiTheme="majorHAnsi" w:cstheme="majorHAnsi"/>
          <w:b/>
          <w:bCs/>
        </w:rPr>
        <w:t xml:space="preserve"> nevienareikšmis.</w:t>
      </w:r>
      <w:r w:rsidRPr="00A40B6E">
        <w:rPr>
          <w:rFonts w:asciiTheme="majorHAnsi" w:hAnsiTheme="majorHAnsi" w:cstheme="majorHAnsi"/>
        </w:rPr>
        <w:t xml:space="preserve"> </w:t>
      </w:r>
      <w:r w:rsidR="006C7848" w:rsidRPr="00A40B6E">
        <w:rPr>
          <w:rFonts w:asciiTheme="majorHAnsi" w:hAnsiTheme="majorHAnsi" w:cstheme="majorHAnsi"/>
        </w:rPr>
        <w:t xml:space="preserve">Pardavimo tiesiogiai neprieinamu būdu šalininkai remiasi eksperimentinėmis mokslinėmis studijomis, kurios teigia, kad tabako gaminių pardavimo vietų iškabos daro įtaką pasirinkimui rūkyti (angl. – </w:t>
      </w:r>
      <w:proofErr w:type="spellStart"/>
      <w:r w:rsidR="006C7848" w:rsidRPr="00A40B6E">
        <w:rPr>
          <w:rFonts w:asciiTheme="majorHAnsi" w:hAnsiTheme="majorHAnsi" w:cstheme="majorHAnsi"/>
          <w:i/>
          <w:iCs/>
        </w:rPr>
        <w:t>likelihood</w:t>
      </w:r>
      <w:proofErr w:type="spellEnd"/>
      <w:r w:rsidR="006C7848" w:rsidRPr="00A40B6E">
        <w:rPr>
          <w:rFonts w:asciiTheme="majorHAnsi" w:hAnsiTheme="majorHAnsi" w:cstheme="majorHAnsi"/>
          <w:i/>
          <w:iCs/>
        </w:rPr>
        <w:t xml:space="preserve"> </w:t>
      </w:r>
      <w:proofErr w:type="spellStart"/>
      <w:r w:rsidR="006C7848" w:rsidRPr="00A40B6E">
        <w:rPr>
          <w:rFonts w:asciiTheme="majorHAnsi" w:hAnsiTheme="majorHAnsi" w:cstheme="majorHAnsi"/>
          <w:i/>
          <w:iCs/>
        </w:rPr>
        <w:t>of</w:t>
      </w:r>
      <w:proofErr w:type="spellEnd"/>
      <w:r w:rsidR="006C7848" w:rsidRPr="00A40B6E">
        <w:rPr>
          <w:rFonts w:asciiTheme="majorHAnsi" w:hAnsiTheme="majorHAnsi" w:cstheme="majorHAnsi"/>
          <w:i/>
          <w:iCs/>
        </w:rPr>
        <w:t xml:space="preserve"> </w:t>
      </w:r>
      <w:proofErr w:type="spellStart"/>
      <w:r w:rsidR="006C7848" w:rsidRPr="00A40B6E">
        <w:rPr>
          <w:rFonts w:asciiTheme="majorHAnsi" w:hAnsiTheme="majorHAnsi" w:cstheme="majorHAnsi"/>
          <w:i/>
          <w:iCs/>
        </w:rPr>
        <w:t>being</w:t>
      </w:r>
      <w:proofErr w:type="spellEnd"/>
      <w:r w:rsidR="006C7848" w:rsidRPr="00A40B6E">
        <w:rPr>
          <w:rFonts w:asciiTheme="majorHAnsi" w:hAnsiTheme="majorHAnsi" w:cstheme="majorHAnsi"/>
          <w:i/>
          <w:iCs/>
        </w:rPr>
        <w:t xml:space="preserve"> </w:t>
      </w:r>
      <w:proofErr w:type="spellStart"/>
      <w:r w:rsidR="006C7848" w:rsidRPr="00A40B6E">
        <w:rPr>
          <w:rFonts w:asciiTheme="majorHAnsi" w:hAnsiTheme="majorHAnsi" w:cstheme="majorHAnsi"/>
          <w:i/>
          <w:iCs/>
        </w:rPr>
        <w:t>or</w:t>
      </w:r>
      <w:proofErr w:type="spellEnd"/>
      <w:r w:rsidR="006C7848" w:rsidRPr="00A40B6E">
        <w:rPr>
          <w:rFonts w:asciiTheme="majorHAnsi" w:hAnsiTheme="majorHAnsi" w:cstheme="majorHAnsi"/>
          <w:i/>
          <w:iCs/>
        </w:rPr>
        <w:t xml:space="preserve"> </w:t>
      </w:r>
      <w:proofErr w:type="spellStart"/>
      <w:r w:rsidR="006C7848" w:rsidRPr="00A40B6E">
        <w:rPr>
          <w:rFonts w:asciiTheme="majorHAnsi" w:hAnsiTheme="majorHAnsi" w:cstheme="majorHAnsi"/>
          <w:i/>
          <w:iCs/>
        </w:rPr>
        <w:t>becoming</w:t>
      </w:r>
      <w:proofErr w:type="spellEnd"/>
      <w:r w:rsidR="006C7848" w:rsidRPr="00A40B6E">
        <w:rPr>
          <w:rFonts w:asciiTheme="majorHAnsi" w:hAnsiTheme="majorHAnsi" w:cstheme="majorHAnsi"/>
          <w:i/>
          <w:iCs/>
        </w:rPr>
        <w:t xml:space="preserve"> a </w:t>
      </w:r>
      <w:proofErr w:type="spellStart"/>
      <w:r w:rsidR="006C7848" w:rsidRPr="00A40B6E">
        <w:rPr>
          <w:rFonts w:asciiTheme="majorHAnsi" w:hAnsiTheme="majorHAnsi" w:cstheme="majorHAnsi"/>
          <w:i/>
          <w:iCs/>
        </w:rPr>
        <w:t>smoker</w:t>
      </w:r>
      <w:proofErr w:type="spellEnd"/>
      <w:r w:rsidR="006C7848" w:rsidRPr="00A40B6E">
        <w:rPr>
          <w:rFonts w:asciiTheme="majorHAnsi" w:hAnsiTheme="majorHAnsi" w:cstheme="majorHAnsi"/>
        </w:rPr>
        <w:t xml:space="preserve">). Tačiau yra ignoruojama nepalanki statistika – Kanadoje, Nova </w:t>
      </w:r>
      <w:proofErr w:type="spellStart"/>
      <w:r w:rsidR="006C7848" w:rsidRPr="00A40B6E">
        <w:rPr>
          <w:rFonts w:asciiTheme="majorHAnsi" w:hAnsiTheme="majorHAnsi" w:cstheme="majorHAnsi"/>
        </w:rPr>
        <w:t>Scotia</w:t>
      </w:r>
      <w:proofErr w:type="spellEnd"/>
      <w:r w:rsidR="006C7848" w:rsidRPr="00A40B6E">
        <w:rPr>
          <w:rFonts w:asciiTheme="majorHAnsi" w:hAnsiTheme="majorHAnsi" w:cstheme="majorHAnsi"/>
        </w:rPr>
        <w:t xml:space="preserve"> valstijoje, pritaikius draudimą eksponuoti cigaretes</w:t>
      </w:r>
      <w:r w:rsidR="00535BC7" w:rsidRPr="00A40B6E">
        <w:rPr>
          <w:rFonts w:asciiTheme="majorHAnsi" w:hAnsiTheme="majorHAnsi" w:cstheme="majorHAnsi"/>
        </w:rPr>
        <w:t>,</w:t>
      </w:r>
      <w:r w:rsidR="006C7848" w:rsidRPr="00A40B6E">
        <w:rPr>
          <w:rFonts w:asciiTheme="majorHAnsi" w:hAnsiTheme="majorHAnsi" w:cstheme="majorHAnsi"/>
        </w:rPr>
        <w:t xml:space="preserve"> 2006-2008 m. paauglių rūkymo paplitimas išaugo 2 proc. </w:t>
      </w:r>
      <w:r w:rsidR="00535BC7" w:rsidRPr="00A40B6E">
        <w:rPr>
          <w:rFonts w:asciiTheme="majorHAnsi" w:hAnsiTheme="majorHAnsi" w:cstheme="majorHAnsi"/>
        </w:rPr>
        <w:t>(</w:t>
      </w:r>
      <w:r w:rsidR="006C7848" w:rsidRPr="00A40B6E">
        <w:rPr>
          <w:rFonts w:asciiTheme="majorHAnsi" w:hAnsiTheme="majorHAnsi" w:cstheme="majorHAnsi"/>
        </w:rPr>
        <w:t>nuo 12,5 iki 14,5 proc.</w:t>
      </w:r>
      <w:r w:rsidR="00535BC7" w:rsidRPr="00A40B6E">
        <w:rPr>
          <w:rFonts w:asciiTheme="majorHAnsi" w:hAnsiTheme="majorHAnsi" w:cstheme="majorHAnsi"/>
        </w:rPr>
        <w:t>),</w:t>
      </w:r>
      <w:r w:rsidR="006C7848" w:rsidRPr="00A40B6E">
        <w:rPr>
          <w:rFonts w:asciiTheme="majorHAnsi" w:hAnsiTheme="majorHAnsi" w:cstheme="majorHAnsi"/>
        </w:rPr>
        <w:t xml:space="preserve"> o poveikio vartojimui užfiksuota nebuvo</w:t>
      </w:r>
      <w:r w:rsidRPr="00A40B6E">
        <w:rPr>
          <w:rFonts w:asciiTheme="majorHAnsi" w:hAnsiTheme="majorHAnsi" w:cstheme="majorHAnsi"/>
        </w:rPr>
        <w:t xml:space="preserve"> </w:t>
      </w:r>
      <w:r w:rsidRPr="00A40B6E">
        <w:rPr>
          <w:rFonts w:asciiTheme="majorHAnsi" w:hAnsiTheme="majorHAnsi" w:cstheme="majorHAnsi"/>
        </w:rPr>
        <w:fldChar w:fldCharType="begin"/>
      </w:r>
      <w:r w:rsidRPr="00A40B6E">
        <w:rPr>
          <w:rFonts w:asciiTheme="majorHAnsi" w:hAnsiTheme="majorHAnsi" w:cstheme="majorHAnsi"/>
        </w:rPr>
        <w:instrText xml:space="preserve"> ADDIN EN.CITE &lt;EndNote&gt;&lt;Cite&gt;&lt;Author&gt;Basham&lt;/Author&gt;&lt;Year&gt;2010&lt;/Year&gt;&lt;RecNum&gt;2766&lt;/RecNum&gt;&lt;Suffix&gt;: 2`, 8&lt;/Suffix&gt;&lt;DisplayText&gt;(Basham, 2010: 2, 8; Lilico, 2009: 22-23)&lt;/DisplayText&gt;&lt;record&gt;&lt;rec-number&gt;2766&lt;/rec-number&gt;&lt;foreign-keys&gt;&lt;key app="EN" db-id="50wxdpzd9vd5r7e9t5b595djrfpttrxw9avp"&gt;2766&lt;/key&gt;&lt;/foreign-keys&gt;&lt;ref-type name="Journal Article"&gt;17&lt;/ref-type&gt;&lt;contributors&gt;&lt;authors&gt;&lt;author&gt;Basham, P&lt;/author&gt;&lt;/authors&gt;&lt;/contributors&gt;&lt;titles&gt;&lt;title&gt;Canada&amp;apos;s ruinous tobacco display ban: economic and public health lessons. IEA Discussion Paper 29&lt;/title&gt;&lt;/titles&gt;&lt;dates&gt;&lt;year&gt;2010&lt;/year&gt;&lt;/dates&gt;&lt;urls&gt;&lt;related-urls&gt;&lt;url&gt;https://iea.org.uk/publications/research/canadas-ruinous-tobacco-display-ban-economic-and-public-health-lessons&lt;/url&gt;&lt;/related-urls&gt;&lt;/urls&gt;&lt;/record&gt;&lt;/Cite&gt;&lt;Cite&gt;&lt;Author&gt;Lilico&lt;/Author&gt;&lt;Year&gt;2009&lt;/Year&gt;&lt;RecNum&gt;2768&lt;/RecNum&gt;&lt;Suffix&gt;: 22-23&lt;/Suffix&gt;&lt;record&gt;&lt;rec-number&gt;2768&lt;/rec-number&gt;&lt;foreign-keys&gt;&lt;key app="EN" db-id="50wxdpzd9vd5r7e9t5b595djrfpttrxw9avp"&gt;2768&lt;/key&gt;&lt;/foreign-keys&gt;&lt;ref-type name="Journal Article"&gt;17&lt;/ref-type&gt;&lt;contributors&gt;&lt;authors&gt;&lt;author&gt;Lilico, A&lt;/author&gt;&lt;/authors&gt;&lt;/contributors&gt;&lt;titles&gt;&lt;title&gt;The impacts of restrictions on the display of tobacco products: A supplemental report&lt;/title&gt;&lt;secondary-title&gt;Europe Economics, October&lt;/secondary-title&gt;&lt;/titles&gt;&lt;periodical&gt;&lt;full-title&gt;Europe Economics, October&lt;/full-title&gt;&lt;/periodical&gt;&lt;dates&gt;&lt;year&gt;2009&lt;/year&gt;&lt;/dates&gt;&lt;urls&gt;&lt;related-urls&gt;&lt;url&gt;https://www.jti.com/sites/default/files/key-regulation-pdfs/submissions/uk/12-lilico-suppl-report-restricts-display.pdf&lt;/url&gt;&lt;/related-urls&gt;&lt;/urls&gt;&lt;/record&gt;&lt;/Cite&gt;&lt;/EndNote&gt;</w:instrText>
      </w:r>
      <w:r w:rsidRPr="00A40B6E">
        <w:rPr>
          <w:rFonts w:asciiTheme="majorHAnsi" w:hAnsiTheme="majorHAnsi" w:cstheme="majorHAnsi"/>
        </w:rPr>
        <w:fldChar w:fldCharType="separate"/>
      </w:r>
      <w:r w:rsidRPr="00A40B6E">
        <w:rPr>
          <w:rFonts w:asciiTheme="majorHAnsi" w:hAnsiTheme="majorHAnsi" w:cstheme="majorHAnsi"/>
          <w:noProof/>
        </w:rPr>
        <w:t>(</w:t>
      </w:r>
      <w:hyperlink w:anchor="_ENREF_1" w:tooltip="Basham, 2010 #2766" w:history="1">
        <w:r w:rsidR="00CC2C4F" w:rsidRPr="00A40B6E">
          <w:rPr>
            <w:rFonts w:asciiTheme="majorHAnsi" w:hAnsiTheme="majorHAnsi" w:cstheme="majorHAnsi"/>
            <w:noProof/>
          </w:rPr>
          <w:t>Basham, 2010: 2, 8</w:t>
        </w:r>
      </w:hyperlink>
      <w:r w:rsidRPr="00A40B6E">
        <w:rPr>
          <w:rFonts w:asciiTheme="majorHAnsi" w:hAnsiTheme="majorHAnsi" w:cstheme="majorHAnsi"/>
          <w:noProof/>
        </w:rPr>
        <w:t xml:space="preserve">; </w:t>
      </w:r>
      <w:hyperlink w:anchor="_ENREF_5" w:tooltip="Lilico, 2009 #2768" w:history="1">
        <w:r w:rsidR="00CC2C4F" w:rsidRPr="00A40B6E">
          <w:rPr>
            <w:rFonts w:asciiTheme="majorHAnsi" w:hAnsiTheme="majorHAnsi" w:cstheme="majorHAnsi"/>
            <w:noProof/>
          </w:rPr>
          <w:t>Lilico, 2009: 22-23</w:t>
        </w:r>
      </w:hyperlink>
      <w:r w:rsidRPr="00A40B6E">
        <w:rPr>
          <w:rFonts w:asciiTheme="majorHAnsi" w:hAnsiTheme="majorHAnsi" w:cstheme="majorHAnsi"/>
          <w:noProof/>
        </w:rPr>
        <w:t>)</w:t>
      </w:r>
      <w:r w:rsidRPr="00A40B6E">
        <w:rPr>
          <w:rFonts w:asciiTheme="majorHAnsi" w:hAnsiTheme="majorHAnsi" w:cstheme="majorHAnsi"/>
        </w:rPr>
        <w:fldChar w:fldCharType="end"/>
      </w:r>
      <w:r w:rsidRPr="00A40B6E">
        <w:rPr>
          <w:rFonts w:asciiTheme="majorHAnsi" w:hAnsiTheme="majorHAnsi" w:cstheme="majorHAnsi"/>
        </w:rPr>
        <w:t xml:space="preserve">. </w:t>
      </w:r>
      <w:r w:rsidR="006C7848" w:rsidRPr="00A40B6E">
        <w:rPr>
          <w:rFonts w:asciiTheme="majorHAnsi" w:hAnsiTheme="majorHAnsi" w:cstheme="majorHAnsi"/>
        </w:rPr>
        <w:t>2001 m. Islandijoje</w:t>
      </w:r>
      <w:r w:rsidR="00535BC7" w:rsidRPr="00A40B6E">
        <w:rPr>
          <w:rFonts w:asciiTheme="majorHAnsi" w:hAnsiTheme="majorHAnsi" w:cstheme="majorHAnsi"/>
        </w:rPr>
        <w:t>,</w:t>
      </w:r>
      <w:r w:rsidR="006C7848" w:rsidRPr="00A40B6E">
        <w:rPr>
          <w:rFonts w:asciiTheme="majorHAnsi" w:hAnsiTheme="majorHAnsi" w:cstheme="majorHAnsi"/>
        </w:rPr>
        <w:t xml:space="preserve"> prieš įvedant pardavimo tiesiogiai neprieinamu būdu reguliavimą, 14,4 proc. 15-19</w:t>
      </w:r>
      <w:r w:rsidR="00535BC7" w:rsidRPr="00A40B6E">
        <w:rPr>
          <w:rFonts w:asciiTheme="majorHAnsi" w:hAnsiTheme="majorHAnsi" w:cstheme="majorHAnsi"/>
        </w:rPr>
        <w:t xml:space="preserve"> </w:t>
      </w:r>
      <w:r w:rsidR="006C7848" w:rsidRPr="00A40B6E">
        <w:rPr>
          <w:rFonts w:asciiTheme="majorHAnsi" w:hAnsiTheme="majorHAnsi" w:cstheme="majorHAnsi"/>
        </w:rPr>
        <w:t>me</w:t>
      </w:r>
      <w:r w:rsidR="00535BC7" w:rsidRPr="00A40B6E">
        <w:rPr>
          <w:rFonts w:asciiTheme="majorHAnsi" w:hAnsiTheme="majorHAnsi" w:cstheme="majorHAnsi"/>
        </w:rPr>
        <w:t>tų amžiaus jaunuolių</w:t>
      </w:r>
      <w:r w:rsidR="006C7848" w:rsidRPr="00A40B6E">
        <w:rPr>
          <w:rFonts w:asciiTheme="majorHAnsi" w:hAnsiTheme="majorHAnsi" w:cstheme="majorHAnsi"/>
        </w:rPr>
        <w:t xml:space="preserve"> vartojo tabako gaminius. 2002 m. – po reguliavimo į</w:t>
      </w:r>
      <w:r w:rsidR="00535BC7" w:rsidRPr="00A40B6E">
        <w:rPr>
          <w:rFonts w:asciiTheme="majorHAnsi" w:hAnsiTheme="majorHAnsi" w:cstheme="majorHAnsi"/>
        </w:rPr>
        <w:t xml:space="preserve">vedimo – tabako vartojimas </w:t>
      </w:r>
      <w:r w:rsidR="006C7848" w:rsidRPr="00A40B6E">
        <w:rPr>
          <w:rFonts w:asciiTheme="majorHAnsi" w:hAnsiTheme="majorHAnsi" w:cstheme="majorHAnsi"/>
        </w:rPr>
        <w:t>išaug</w:t>
      </w:r>
      <w:r w:rsidR="00535BC7" w:rsidRPr="00A40B6E">
        <w:rPr>
          <w:rFonts w:asciiTheme="majorHAnsi" w:hAnsiTheme="majorHAnsi" w:cstheme="majorHAnsi"/>
        </w:rPr>
        <w:t>o</w:t>
      </w:r>
      <w:r w:rsidR="006C7848" w:rsidRPr="00A40B6E">
        <w:rPr>
          <w:rFonts w:asciiTheme="majorHAnsi" w:hAnsiTheme="majorHAnsi" w:cstheme="majorHAnsi"/>
        </w:rPr>
        <w:t xml:space="preserve"> iki 17,5 proc. Panaši situacija fiksuota ir Tailande. Tabako vartojimo paplitimas tarp 15-19 metų gyventojų iki reguliavimo įvedimo 2004 m. buvo 19,5 proc. 2007 m. įsigaliojus pardavimui tiesiogiai neprieinamu būdu</w:t>
      </w:r>
      <w:r w:rsidR="00D35668" w:rsidRPr="00A40B6E">
        <w:rPr>
          <w:rFonts w:asciiTheme="majorHAnsi" w:hAnsiTheme="majorHAnsi" w:cstheme="majorHAnsi"/>
        </w:rPr>
        <w:t>,</w:t>
      </w:r>
      <w:r w:rsidR="006C7848" w:rsidRPr="00A40B6E">
        <w:rPr>
          <w:rFonts w:asciiTheme="majorHAnsi" w:hAnsiTheme="majorHAnsi" w:cstheme="majorHAnsi"/>
        </w:rPr>
        <w:t xml:space="preserve"> rūkymo paplitimas pasiekė 20,5 proc. </w:t>
      </w:r>
      <w:r w:rsidRPr="00A40B6E">
        <w:rPr>
          <w:rFonts w:asciiTheme="majorHAnsi" w:hAnsiTheme="majorHAnsi" w:cstheme="majorHAnsi"/>
        </w:rPr>
        <w:fldChar w:fldCharType="begin"/>
      </w:r>
      <w:r w:rsidRPr="00A40B6E">
        <w:rPr>
          <w:rFonts w:asciiTheme="majorHAnsi" w:hAnsiTheme="majorHAnsi" w:cstheme="majorHAnsi"/>
        </w:rPr>
        <w:instrText xml:space="preserve"> ADDIN EN.CITE &lt;EndNote&gt;&lt;Cite&gt;&lt;Author&gt;Basham&lt;/Author&gt;&lt;Year&gt;2010&lt;/Year&gt;&lt;RecNum&gt;2766&lt;/RecNum&gt;&lt;Suffix&gt;: 7`; 14-15&lt;/Suffix&gt;&lt;DisplayText&gt;(Basham, 2010: 7; 14-15)&lt;/DisplayText&gt;&lt;record&gt;&lt;rec-number&gt;2766&lt;/rec-number&gt;&lt;foreign-keys&gt;&lt;key app="EN" db-id="50wxdpzd9vd5r7e9t5b595djrfpttrxw9avp"&gt;2766&lt;/key&gt;&lt;/foreign-keys&gt;&lt;ref-type name="Journal Article"&gt;17&lt;/ref-type&gt;&lt;contributors&gt;&lt;authors&gt;&lt;author&gt;Basham, P&lt;/author&gt;&lt;/authors&gt;&lt;/contributors&gt;&lt;titles&gt;&lt;title&gt;Canada&amp;apos;s ruinous tobacco display ban: economic and public health lessons. IEA Discussion Paper 29&lt;/title&gt;&lt;/titles&gt;&lt;dates&gt;&lt;year&gt;2010&lt;/year&gt;&lt;/dates&gt;&lt;urls&gt;&lt;related-urls&gt;&lt;url&gt;https://iea.org.uk/publications/research/canadas-ruinous-tobacco-display-ban-economic-and-public-health-lessons&lt;/url&gt;&lt;/related-urls&gt;&lt;/urls&gt;&lt;/record&gt;&lt;/Cite&gt;&lt;/EndNote&gt;</w:instrText>
      </w:r>
      <w:r w:rsidRPr="00A40B6E">
        <w:rPr>
          <w:rFonts w:asciiTheme="majorHAnsi" w:hAnsiTheme="majorHAnsi" w:cstheme="majorHAnsi"/>
        </w:rPr>
        <w:fldChar w:fldCharType="separate"/>
      </w:r>
      <w:r w:rsidRPr="00A40B6E">
        <w:rPr>
          <w:rFonts w:asciiTheme="majorHAnsi" w:hAnsiTheme="majorHAnsi" w:cstheme="majorHAnsi"/>
        </w:rPr>
        <w:t>(</w:t>
      </w:r>
      <w:hyperlink w:anchor="_ENREF_1" w:tooltip="Basham, 2010 #2766" w:history="1">
        <w:r w:rsidR="00CC2C4F" w:rsidRPr="00A40B6E">
          <w:rPr>
            <w:rFonts w:asciiTheme="majorHAnsi" w:hAnsiTheme="majorHAnsi" w:cstheme="majorHAnsi"/>
          </w:rPr>
          <w:t>Basham, 2010: 7; 14-15</w:t>
        </w:r>
      </w:hyperlink>
      <w:r w:rsidRPr="00A40B6E">
        <w:rPr>
          <w:rFonts w:asciiTheme="majorHAnsi" w:hAnsiTheme="majorHAnsi" w:cstheme="majorHAnsi"/>
        </w:rPr>
        <w:t>)</w:t>
      </w:r>
      <w:r w:rsidRPr="00A40B6E">
        <w:rPr>
          <w:rFonts w:asciiTheme="majorHAnsi" w:hAnsiTheme="majorHAnsi" w:cstheme="majorHAnsi"/>
        </w:rPr>
        <w:fldChar w:fldCharType="end"/>
      </w:r>
      <w:r w:rsidRPr="00A40B6E">
        <w:rPr>
          <w:rFonts w:asciiTheme="majorHAnsi" w:hAnsiTheme="majorHAnsi" w:cstheme="majorHAnsi"/>
        </w:rPr>
        <w:t xml:space="preserve"> (žr. 2 lentelę).</w:t>
      </w:r>
    </w:p>
    <w:p w14:paraId="32C66A9C" w14:textId="52B98ED4" w:rsidR="00152AFE" w:rsidRPr="00A40B6E" w:rsidRDefault="00E6172D" w:rsidP="00E6172D">
      <w:pPr>
        <w:rPr>
          <w:rFonts w:asciiTheme="majorHAnsi" w:hAnsiTheme="majorHAnsi" w:cstheme="majorHAnsi"/>
        </w:rPr>
      </w:pPr>
      <w:r w:rsidRPr="00A40B6E">
        <w:rPr>
          <w:rFonts w:asciiTheme="majorHAnsi" w:hAnsiTheme="majorHAnsi" w:cstheme="majorHAnsi"/>
        </w:rPr>
        <w:br w:type="page"/>
      </w:r>
    </w:p>
    <w:p w14:paraId="1E582B28" w14:textId="77777777" w:rsidR="00152AFE" w:rsidRPr="00A40B6E" w:rsidRDefault="00152AFE" w:rsidP="00152AFE">
      <w:pPr>
        <w:pStyle w:val="NoSpacing"/>
        <w:rPr>
          <w:rFonts w:asciiTheme="majorHAnsi" w:hAnsiTheme="majorHAnsi" w:cstheme="majorHAnsi"/>
        </w:rPr>
      </w:pPr>
    </w:p>
    <w:p w14:paraId="377C7174" w14:textId="2ABC8D7B" w:rsidR="00152AFE" w:rsidRPr="00A40B6E" w:rsidRDefault="00152AFE" w:rsidP="00152AFE">
      <w:pPr>
        <w:pStyle w:val="NoSpacing"/>
        <w:rPr>
          <w:rFonts w:asciiTheme="majorHAnsi" w:hAnsiTheme="majorHAnsi" w:cstheme="majorHAnsi"/>
          <w:sz w:val="20"/>
        </w:rPr>
      </w:pPr>
      <w:r w:rsidRPr="00A40B6E">
        <w:rPr>
          <w:rFonts w:asciiTheme="majorHAnsi" w:hAnsiTheme="majorHAnsi" w:cstheme="majorHAnsi"/>
          <w:sz w:val="20"/>
        </w:rPr>
        <w:t>2 lentelė. Rūkymo paplitimas tarp 15-19 metų gyventojų prieš ir po bendrinės pakuotės reguliavimo</w:t>
      </w:r>
      <w:r w:rsidRPr="00A40B6E">
        <w:rPr>
          <w:rStyle w:val="FootnoteReference"/>
          <w:rFonts w:asciiTheme="majorHAnsi" w:hAnsiTheme="majorHAnsi" w:cstheme="majorHAnsi"/>
          <w:sz w:val="20"/>
        </w:rPr>
        <w:footnoteReference w:id="14"/>
      </w:r>
      <w:r w:rsidR="000E30B1" w:rsidRPr="00A40B6E">
        <w:rPr>
          <w:rFonts w:asciiTheme="majorHAnsi" w:hAnsiTheme="majorHAnsi" w:cstheme="majorHAnsi"/>
          <w:sz w:val="20"/>
        </w:rPr>
        <w:t xml:space="preserve"> įvedimo.</w:t>
      </w:r>
    </w:p>
    <w:tbl>
      <w:tblPr>
        <w:tblStyle w:val="TableGrid"/>
        <w:tblW w:w="0" w:type="auto"/>
        <w:tblInd w:w="704" w:type="dxa"/>
        <w:tblLook w:val="04A0" w:firstRow="1" w:lastRow="0" w:firstColumn="1" w:lastColumn="0" w:noHBand="0" w:noVBand="1"/>
      </w:tblPr>
      <w:tblGrid>
        <w:gridCol w:w="3686"/>
        <w:gridCol w:w="2268"/>
        <w:gridCol w:w="1275"/>
        <w:gridCol w:w="1695"/>
      </w:tblGrid>
      <w:tr w:rsidR="00152AFE" w:rsidRPr="00A40B6E" w14:paraId="0D439659" w14:textId="77777777" w:rsidTr="00AC58F1">
        <w:tc>
          <w:tcPr>
            <w:tcW w:w="3686" w:type="dxa"/>
            <w:shd w:val="clear" w:color="auto" w:fill="8DB3E2" w:themeFill="text2" w:themeFillTint="66"/>
          </w:tcPr>
          <w:p w14:paraId="3C193367"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Rūkymo paplitimas tarp 15-19 metų gyventojų</w:t>
            </w:r>
          </w:p>
        </w:tc>
        <w:tc>
          <w:tcPr>
            <w:tcW w:w="2268" w:type="dxa"/>
            <w:shd w:val="clear" w:color="auto" w:fill="8DB3E2" w:themeFill="text2" w:themeFillTint="66"/>
          </w:tcPr>
          <w:p w14:paraId="2DD5BC1A"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 xml:space="preserve">Nova </w:t>
            </w:r>
            <w:proofErr w:type="spellStart"/>
            <w:r w:rsidRPr="00A40B6E">
              <w:rPr>
                <w:rFonts w:asciiTheme="majorHAnsi" w:hAnsiTheme="majorHAnsi" w:cstheme="majorHAnsi"/>
              </w:rPr>
              <w:t>Scotia</w:t>
            </w:r>
            <w:proofErr w:type="spellEnd"/>
            <w:r w:rsidRPr="00A40B6E">
              <w:rPr>
                <w:rFonts w:asciiTheme="majorHAnsi" w:hAnsiTheme="majorHAnsi" w:cstheme="majorHAnsi"/>
              </w:rPr>
              <w:t xml:space="preserve"> (Kanada)</w:t>
            </w:r>
          </w:p>
        </w:tc>
        <w:tc>
          <w:tcPr>
            <w:tcW w:w="1275" w:type="dxa"/>
            <w:shd w:val="clear" w:color="auto" w:fill="8DB3E2" w:themeFill="text2" w:themeFillTint="66"/>
          </w:tcPr>
          <w:p w14:paraId="7B9E086F"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Islandija</w:t>
            </w:r>
          </w:p>
        </w:tc>
        <w:tc>
          <w:tcPr>
            <w:tcW w:w="1695" w:type="dxa"/>
            <w:shd w:val="clear" w:color="auto" w:fill="8DB3E2" w:themeFill="text2" w:themeFillTint="66"/>
          </w:tcPr>
          <w:p w14:paraId="78B6861A"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Tailandas</w:t>
            </w:r>
          </w:p>
        </w:tc>
      </w:tr>
      <w:tr w:rsidR="00152AFE" w:rsidRPr="00A40B6E" w14:paraId="57BCA177" w14:textId="77777777" w:rsidTr="00AC58F1">
        <w:tc>
          <w:tcPr>
            <w:tcW w:w="3686" w:type="dxa"/>
            <w:shd w:val="clear" w:color="auto" w:fill="9BBB59" w:themeFill="accent3"/>
          </w:tcPr>
          <w:p w14:paraId="74EB9465"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Prieš reguliavimo įvedimą</w:t>
            </w:r>
          </w:p>
        </w:tc>
        <w:tc>
          <w:tcPr>
            <w:tcW w:w="2268" w:type="dxa"/>
          </w:tcPr>
          <w:p w14:paraId="0CA8CC26" w14:textId="74C2F193"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12,5 proc. (2006 m</w:t>
            </w:r>
            <w:r w:rsidR="00D35668" w:rsidRPr="00A40B6E">
              <w:rPr>
                <w:rFonts w:asciiTheme="majorHAnsi" w:hAnsiTheme="majorHAnsi" w:cstheme="majorHAnsi"/>
              </w:rPr>
              <w:t>.</w:t>
            </w:r>
            <w:r w:rsidRPr="00A40B6E">
              <w:rPr>
                <w:rFonts w:asciiTheme="majorHAnsi" w:hAnsiTheme="majorHAnsi" w:cstheme="majorHAnsi"/>
              </w:rPr>
              <w:t>)</w:t>
            </w:r>
          </w:p>
        </w:tc>
        <w:tc>
          <w:tcPr>
            <w:tcW w:w="1275" w:type="dxa"/>
          </w:tcPr>
          <w:p w14:paraId="42AC7F2F"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14,4 proc. (2001 m.)</w:t>
            </w:r>
          </w:p>
        </w:tc>
        <w:tc>
          <w:tcPr>
            <w:tcW w:w="1695" w:type="dxa"/>
          </w:tcPr>
          <w:p w14:paraId="570FC636" w14:textId="77777777" w:rsidR="000E30B1" w:rsidRPr="00A40B6E" w:rsidRDefault="000E30B1" w:rsidP="00AC58F1">
            <w:pPr>
              <w:pStyle w:val="NoSpacing"/>
              <w:jc w:val="both"/>
              <w:rPr>
                <w:rFonts w:asciiTheme="majorHAnsi" w:hAnsiTheme="majorHAnsi" w:cstheme="majorHAnsi"/>
              </w:rPr>
            </w:pPr>
            <w:r w:rsidRPr="00A40B6E">
              <w:rPr>
                <w:rFonts w:asciiTheme="majorHAnsi" w:hAnsiTheme="majorHAnsi" w:cstheme="majorHAnsi"/>
              </w:rPr>
              <w:t>19,5 proc.</w:t>
            </w:r>
          </w:p>
          <w:p w14:paraId="6E97FC72" w14:textId="26F318EB"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(2004 m.)</w:t>
            </w:r>
          </w:p>
        </w:tc>
      </w:tr>
      <w:tr w:rsidR="00152AFE" w:rsidRPr="00A40B6E" w14:paraId="0AE5EDFD" w14:textId="77777777" w:rsidTr="00AC58F1">
        <w:tc>
          <w:tcPr>
            <w:tcW w:w="3686" w:type="dxa"/>
            <w:shd w:val="clear" w:color="auto" w:fill="9BBB59" w:themeFill="accent3"/>
          </w:tcPr>
          <w:p w14:paraId="7A8B3C67" w14:textId="5AAC8E46" w:rsidR="00152AFE" w:rsidRPr="00A40B6E" w:rsidRDefault="000E30B1" w:rsidP="00AC58F1">
            <w:pPr>
              <w:pStyle w:val="NoSpacing"/>
              <w:jc w:val="both"/>
              <w:rPr>
                <w:rFonts w:asciiTheme="majorHAnsi" w:hAnsiTheme="majorHAnsi" w:cstheme="majorHAnsi"/>
              </w:rPr>
            </w:pPr>
            <w:r w:rsidRPr="00A40B6E">
              <w:rPr>
                <w:rFonts w:asciiTheme="majorHAnsi" w:hAnsiTheme="majorHAnsi" w:cstheme="majorHAnsi"/>
              </w:rPr>
              <w:t>Po reguliavimo į</w:t>
            </w:r>
            <w:r w:rsidR="00152AFE" w:rsidRPr="00A40B6E">
              <w:rPr>
                <w:rFonts w:asciiTheme="majorHAnsi" w:hAnsiTheme="majorHAnsi" w:cstheme="majorHAnsi"/>
              </w:rPr>
              <w:t>vedimo</w:t>
            </w:r>
          </w:p>
        </w:tc>
        <w:tc>
          <w:tcPr>
            <w:tcW w:w="2268" w:type="dxa"/>
          </w:tcPr>
          <w:p w14:paraId="4A992404"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14,5 proc. (2008 m.)</w:t>
            </w:r>
          </w:p>
        </w:tc>
        <w:tc>
          <w:tcPr>
            <w:tcW w:w="1275" w:type="dxa"/>
          </w:tcPr>
          <w:p w14:paraId="70079D2B"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17,5 proc. (2002 m.)</w:t>
            </w:r>
          </w:p>
        </w:tc>
        <w:tc>
          <w:tcPr>
            <w:tcW w:w="1695" w:type="dxa"/>
          </w:tcPr>
          <w:p w14:paraId="5678146F" w14:textId="77777777" w:rsidR="000E30B1" w:rsidRPr="00A40B6E" w:rsidRDefault="000E30B1" w:rsidP="00AC58F1">
            <w:pPr>
              <w:pStyle w:val="NoSpacing"/>
              <w:jc w:val="both"/>
              <w:rPr>
                <w:rFonts w:asciiTheme="majorHAnsi" w:hAnsiTheme="majorHAnsi" w:cstheme="majorHAnsi"/>
              </w:rPr>
            </w:pPr>
            <w:r w:rsidRPr="00A40B6E">
              <w:rPr>
                <w:rFonts w:asciiTheme="majorHAnsi" w:hAnsiTheme="majorHAnsi" w:cstheme="majorHAnsi"/>
              </w:rPr>
              <w:t>20,5 proc.</w:t>
            </w:r>
          </w:p>
          <w:p w14:paraId="6F257427" w14:textId="095329D2"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(2007 m.)</w:t>
            </w:r>
          </w:p>
        </w:tc>
      </w:tr>
      <w:tr w:rsidR="00152AFE" w:rsidRPr="00A40B6E" w14:paraId="3B1D0649" w14:textId="77777777" w:rsidTr="00AC58F1">
        <w:tc>
          <w:tcPr>
            <w:tcW w:w="3686" w:type="dxa"/>
            <w:shd w:val="clear" w:color="auto" w:fill="9BBB59" w:themeFill="accent3"/>
          </w:tcPr>
          <w:p w14:paraId="31E7B317"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Rūkymo paplitimo išaugimas</w:t>
            </w:r>
          </w:p>
        </w:tc>
        <w:tc>
          <w:tcPr>
            <w:tcW w:w="2268" w:type="dxa"/>
            <w:shd w:val="clear" w:color="auto" w:fill="FF4B4B"/>
          </w:tcPr>
          <w:p w14:paraId="20CE4B54"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+2 proc.</w:t>
            </w:r>
          </w:p>
        </w:tc>
        <w:tc>
          <w:tcPr>
            <w:tcW w:w="1275" w:type="dxa"/>
            <w:shd w:val="clear" w:color="auto" w:fill="FF4B4B"/>
          </w:tcPr>
          <w:p w14:paraId="252CA46B"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+2,1 proc.</w:t>
            </w:r>
          </w:p>
        </w:tc>
        <w:tc>
          <w:tcPr>
            <w:tcW w:w="1695" w:type="dxa"/>
            <w:shd w:val="clear" w:color="auto" w:fill="FF4B4B"/>
          </w:tcPr>
          <w:p w14:paraId="3CAC5A9D" w14:textId="77777777" w:rsidR="00152AFE" w:rsidRPr="00A40B6E" w:rsidRDefault="00152AFE" w:rsidP="00AC58F1">
            <w:pPr>
              <w:pStyle w:val="NoSpacing"/>
              <w:jc w:val="both"/>
              <w:rPr>
                <w:rFonts w:asciiTheme="majorHAnsi" w:hAnsiTheme="majorHAnsi" w:cstheme="majorHAnsi"/>
              </w:rPr>
            </w:pPr>
            <w:r w:rsidRPr="00A40B6E">
              <w:rPr>
                <w:rFonts w:asciiTheme="majorHAnsi" w:hAnsiTheme="majorHAnsi" w:cstheme="majorHAnsi"/>
              </w:rPr>
              <w:t>+1 proc.</w:t>
            </w:r>
          </w:p>
        </w:tc>
      </w:tr>
    </w:tbl>
    <w:p w14:paraId="638702C6" w14:textId="57026C07" w:rsidR="00152AFE" w:rsidRPr="00A40B6E" w:rsidRDefault="00152AFE" w:rsidP="00152AFE">
      <w:pPr>
        <w:pStyle w:val="NoSpacing"/>
        <w:rPr>
          <w:rFonts w:asciiTheme="majorHAnsi" w:hAnsiTheme="majorHAnsi" w:cstheme="majorHAnsi"/>
          <w:sz w:val="20"/>
        </w:rPr>
      </w:pPr>
      <w:r w:rsidRPr="00A40B6E">
        <w:rPr>
          <w:rFonts w:asciiTheme="majorHAnsi" w:hAnsiTheme="majorHAnsi" w:cstheme="majorHAnsi"/>
          <w:sz w:val="20"/>
        </w:rPr>
        <w:t xml:space="preserve">Šaltinis: </w:t>
      </w:r>
      <w:hyperlink w:anchor="_ENREF_1" w:tooltip="Basham, 2010 #2766" w:history="1"/>
      <w:r w:rsidR="00CC2C4F" w:rsidRPr="00A40B6E">
        <w:fldChar w:fldCharType="begin"/>
      </w:r>
      <w:r w:rsidR="00CC2C4F" w:rsidRPr="00A40B6E">
        <w:instrText xml:space="preserve"> ADDIN EN.CITE &lt;EndNote&gt;&lt;Cite AuthorYear="1"&gt;&lt;Author&gt;Basham&lt;/Author&gt;&lt;Year&gt;2010&lt;/Year&gt;&lt;RecNum&gt;2766&lt;/RecNum&gt;&lt;DisplayText&gt;Basham (2010)&lt;/DisplayText&gt;&lt;record&gt;&lt;rec-number&gt;2766&lt;/rec-number&gt;&lt;foreign-keys&gt;&lt;key app="EN" db-id="50wxdpzd9vd5r7e9t5b595djrfpttrxw9avp"&gt;2766&lt;/key&gt;&lt;/foreign-keys&gt;&lt;ref-type name="Journal Article"&gt;17&lt;/ref-type&gt;&lt;contributors&gt;&lt;authors&gt;&lt;author&gt;Basham, P&lt;/author&gt;&lt;/authors&gt;&lt;/contributors&gt;&lt;titles&gt;&lt;title&gt;Canada&amp;apos;s ruinous tobacco display ban: economic and public health lessons. IEA Discussion Paper 29&lt;/title&gt;&lt;/titles&gt;&lt;dates&gt;&lt;year&gt;2010&lt;/year&gt;&lt;/dates&gt;&lt;urls&gt;&lt;related-urls&gt;&lt;url&gt;https://iea.org.uk/publications/research/canadas-ruinous-tobacco-display-ban-economic-and-public-health-lessons&lt;/url&gt;&lt;/related-urls&gt;&lt;/urls&gt;&lt;/record&gt;&lt;/Cite&gt;&lt;/EndNote&gt;</w:instrText>
      </w:r>
      <w:r w:rsidR="00CC2C4F" w:rsidRPr="00A40B6E">
        <w:fldChar w:fldCharType="separate"/>
      </w:r>
      <w:r w:rsidR="00CC2C4F" w:rsidRPr="00A40B6E">
        <w:rPr>
          <w:noProof/>
        </w:rPr>
        <w:t>Basham (2010)</w:t>
      </w:r>
      <w:r w:rsidR="00CC2C4F" w:rsidRPr="00A40B6E">
        <w:fldChar w:fldCharType="end"/>
      </w:r>
    </w:p>
    <w:p w14:paraId="1860A337" w14:textId="5FBE7276" w:rsidR="009010F1" w:rsidRPr="00A40B6E" w:rsidRDefault="006C7848" w:rsidP="009010F1">
      <w:pPr>
        <w:pStyle w:val="NoSpacing"/>
        <w:numPr>
          <w:ilvl w:val="0"/>
          <w:numId w:val="31"/>
        </w:numPr>
        <w:rPr>
          <w:rFonts w:asciiTheme="majorHAnsi" w:hAnsiTheme="majorHAnsi" w:cstheme="majorHAnsi"/>
          <w:b/>
        </w:rPr>
      </w:pPr>
      <w:r w:rsidRPr="00A40B6E">
        <w:rPr>
          <w:rFonts w:asciiTheme="majorHAnsi" w:hAnsiTheme="majorHAnsi" w:cstheme="majorHAnsi"/>
        </w:rPr>
        <w:t>Tuo pačiu</w:t>
      </w:r>
      <w:r w:rsidR="00014E31" w:rsidRPr="00A40B6E">
        <w:rPr>
          <w:rFonts w:asciiTheme="majorHAnsi" w:hAnsiTheme="majorHAnsi" w:cstheme="majorHAnsi"/>
        </w:rPr>
        <w:t>,</w:t>
      </w:r>
      <w:r w:rsidRPr="00A40B6E">
        <w:rPr>
          <w:rFonts w:asciiTheme="majorHAnsi" w:hAnsiTheme="majorHAnsi" w:cstheme="majorHAnsi"/>
        </w:rPr>
        <w:t xml:space="preserve"> reikalavimas tabako ir susijusius gaminius parduoti tiesiogiai neprieinamu būdu sukeltų šias </w:t>
      </w:r>
      <w:r w:rsidR="00014E31" w:rsidRPr="00A40B6E">
        <w:rPr>
          <w:rFonts w:asciiTheme="majorHAnsi" w:hAnsiTheme="majorHAnsi" w:cstheme="majorHAnsi"/>
        </w:rPr>
        <w:t xml:space="preserve">neįvertintas </w:t>
      </w:r>
      <w:r w:rsidRPr="00A40B6E">
        <w:rPr>
          <w:rFonts w:asciiTheme="majorHAnsi" w:hAnsiTheme="majorHAnsi" w:cstheme="majorHAnsi"/>
        </w:rPr>
        <w:t>neigiamas pasekmes:</w:t>
      </w:r>
    </w:p>
    <w:p w14:paraId="3D7DB8BE" w14:textId="555DA52B" w:rsidR="00A842C7" w:rsidRPr="00A40B6E" w:rsidRDefault="00DA7711" w:rsidP="00773778">
      <w:pPr>
        <w:pStyle w:val="NoSpacing"/>
        <w:numPr>
          <w:ilvl w:val="1"/>
          <w:numId w:val="43"/>
        </w:numPr>
        <w:rPr>
          <w:rFonts w:asciiTheme="majorHAnsi" w:hAnsiTheme="majorHAnsi" w:cstheme="majorHAnsi"/>
        </w:rPr>
      </w:pPr>
      <w:r w:rsidRPr="00A40B6E">
        <w:rPr>
          <w:rFonts w:asciiTheme="majorHAnsi" w:hAnsiTheme="majorHAnsi" w:cstheme="majorHAnsi"/>
          <w:b/>
        </w:rPr>
        <w:t>Neįvertinti</w:t>
      </w:r>
      <w:r w:rsidR="00A842C7" w:rsidRPr="00A40B6E">
        <w:rPr>
          <w:rFonts w:asciiTheme="majorHAnsi" w:hAnsiTheme="majorHAnsi" w:cstheme="majorHAnsi"/>
          <w:b/>
        </w:rPr>
        <w:t xml:space="preserve"> kaštai</w:t>
      </w:r>
      <w:r w:rsidR="005649BB" w:rsidRPr="00A40B6E">
        <w:rPr>
          <w:rFonts w:asciiTheme="majorHAnsi" w:hAnsiTheme="majorHAnsi" w:cstheme="majorHAnsi"/>
          <w:b/>
        </w:rPr>
        <w:t>, kuriuos patirtų verslas</w:t>
      </w:r>
      <w:r w:rsidR="00A842C7" w:rsidRPr="00A40B6E">
        <w:rPr>
          <w:rFonts w:asciiTheme="majorHAnsi" w:hAnsiTheme="majorHAnsi" w:cstheme="majorHAnsi"/>
          <w:b/>
        </w:rPr>
        <w:t xml:space="preserve">. </w:t>
      </w:r>
      <w:r w:rsidRPr="00A40B6E">
        <w:rPr>
          <w:rFonts w:asciiTheme="majorHAnsi" w:hAnsiTheme="majorHAnsi" w:cstheme="majorHAnsi"/>
        </w:rPr>
        <w:t>Projekto Aiškinamajame rašte</w:t>
      </w:r>
      <w:r w:rsidR="00A842C7" w:rsidRPr="00A40B6E">
        <w:rPr>
          <w:rFonts w:asciiTheme="majorHAnsi" w:hAnsiTheme="majorHAnsi" w:cstheme="majorHAnsi"/>
        </w:rPr>
        <w:t xml:space="preserve"> teigiama, kad tabako gaminių pardavimo tiesiogiai neprieinamu būdu reikalavim</w:t>
      </w:r>
      <w:r w:rsidR="007F4562" w:rsidRPr="00A40B6E">
        <w:rPr>
          <w:rFonts w:asciiTheme="majorHAnsi" w:hAnsiTheme="majorHAnsi" w:cstheme="majorHAnsi"/>
        </w:rPr>
        <w:t>ų</w:t>
      </w:r>
      <w:r w:rsidR="00A842C7" w:rsidRPr="00A40B6E">
        <w:rPr>
          <w:rFonts w:asciiTheme="majorHAnsi" w:hAnsiTheme="majorHAnsi" w:cstheme="majorHAnsi"/>
        </w:rPr>
        <w:t xml:space="preserve"> įgyven</w:t>
      </w:r>
      <w:r w:rsidR="007F4562" w:rsidRPr="00A40B6E">
        <w:rPr>
          <w:rFonts w:asciiTheme="majorHAnsi" w:hAnsiTheme="majorHAnsi" w:cstheme="majorHAnsi"/>
        </w:rPr>
        <w:t>d</w:t>
      </w:r>
      <w:r w:rsidR="00A842C7" w:rsidRPr="00A40B6E">
        <w:rPr>
          <w:rFonts w:asciiTheme="majorHAnsi" w:hAnsiTheme="majorHAnsi" w:cstheme="majorHAnsi"/>
        </w:rPr>
        <w:t>i</w:t>
      </w:r>
      <w:r w:rsidR="007F4562" w:rsidRPr="00A40B6E">
        <w:rPr>
          <w:rFonts w:asciiTheme="majorHAnsi" w:hAnsiTheme="majorHAnsi" w:cstheme="majorHAnsi"/>
        </w:rPr>
        <w:t>nimui</w:t>
      </w:r>
      <w:r w:rsidR="00A842C7" w:rsidRPr="00A40B6E">
        <w:rPr>
          <w:rFonts w:asciiTheme="majorHAnsi" w:hAnsiTheme="majorHAnsi" w:cstheme="majorHAnsi"/>
        </w:rPr>
        <w:t xml:space="preserve"> reik</w:t>
      </w:r>
      <w:r w:rsidR="007F4562" w:rsidRPr="00A40B6E">
        <w:rPr>
          <w:rFonts w:asciiTheme="majorHAnsi" w:hAnsiTheme="majorHAnsi" w:cstheme="majorHAnsi"/>
        </w:rPr>
        <w:t>ė</w:t>
      </w:r>
      <w:r w:rsidR="00A842C7" w:rsidRPr="00A40B6E">
        <w:rPr>
          <w:rFonts w:asciiTheme="majorHAnsi" w:hAnsiTheme="majorHAnsi" w:cstheme="majorHAnsi"/>
        </w:rPr>
        <w:t xml:space="preserve">s „minimalių sąnaudų“. </w:t>
      </w:r>
      <w:r w:rsidR="00B55745" w:rsidRPr="00A40B6E">
        <w:rPr>
          <w:rFonts w:asciiTheme="majorHAnsi" w:hAnsiTheme="majorHAnsi" w:cstheme="majorHAnsi"/>
        </w:rPr>
        <w:t>Šis teiginys nėra pagrįstas</w:t>
      </w:r>
      <w:r w:rsidR="000B4EAB" w:rsidRPr="00A40B6E">
        <w:rPr>
          <w:rFonts w:asciiTheme="majorHAnsi" w:hAnsiTheme="majorHAnsi" w:cstheme="majorHAnsi"/>
        </w:rPr>
        <w:t xml:space="preserve"> –</w:t>
      </w:r>
      <w:r w:rsidR="00FD5D8D" w:rsidRPr="00A40B6E">
        <w:rPr>
          <w:rFonts w:asciiTheme="majorHAnsi" w:hAnsiTheme="majorHAnsi" w:cstheme="majorHAnsi"/>
        </w:rPr>
        <w:t xml:space="preserve"> Projektu numatyti pakeitimai turės būti atlikti visose Lietuvos parduotuvėse, tačiau</w:t>
      </w:r>
      <w:r w:rsidR="000B4EAB" w:rsidRPr="00A40B6E">
        <w:rPr>
          <w:rFonts w:asciiTheme="majorHAnsi" w:hAnsiTheme="majorHAnsi" w:cstheme="majorHAnsi"/>
        </w:rPr>
        <w:t xml:space="preserve"> nėra atlikta sąnaudų analizė</w:t>
      </w:r>
      <w:r w:rsidR="007F4562" w:rsidRPr="00A40B6E">
        <w:rPr>
          <w:rFonts w:asciiTheme="majorHAnsi" w:hAnsiTheme="majorHAnsi" w:cstheme="majorHAnsi"/>
        </w:rPr>
        <w:t>,</w:t>
      </w:r>
      <w:r w:rsidR="00FD5D8D" w:rsidRPr="00A40B6E">
        <w:rPr>
          <w:rFonts w:asciiTheme="majorHAnsi" w:hAnsiTheme="majorHAnsi" w:cstheme="majorHAnsi"/>
        </w:rPr>
        <w:t xml:space="preserve"> kiek tai kainuos</w:t>
      </w:r>
      <w:r w:rsidR="000B4EAB" w:rsidRPr="00A40B6E">
        <w:rPr>
          <w:rFonts w:asciiTheme="majorHAnsi" w:hAnsiTheme="majorHAnsi" w:cstheme="majorHAnsi"/>
        </w:rPr>
        <w:t xml:space="preserve"> visiems Lietuvos verslams</w:t>
      </w:r>
      <w:r w:rsidR="00FD5D8D" w:rsidRPr="00A40B6E">
        <w:rPr>
          <w:rFonts w:asciiTheme="majorHAnsi" w:hAnsiTheme="majorHAnsi" w:cstheme="majorHAnsi"/>
        </w:rPr>
        <w:t xml:space="preserve">, prekiaujantiems tabako </w:t>
      </w:r>
      <w:r w:rsidR="007F4562" w:rsidRPr="00A40B6E">
        <w:rPr>
          <w:rFonts w:asciiTheme="majorHAnsi" w:hAnsiTheme="majorHAnsi" w:cstheme="majorHAnsi"/>
        </w:rPr>
        <w:t xml:space="preserve">gaminiais </w:t>
      </w:r>
      <w:r w:rsidR="00FD5D8D" w:rsidRPr="00A40B6E">
        <w:rPr>
          <w:rFonts w:asciiTheme="majorHAnsi" w:hAnsiTheme="majorHAnsi" w:cstheme="majorHAnsi"/>
        </w:rPr>
        <w:t>ir susijusi</w:t>
      </w:r>
      <w:r w:rsidR="007F4562" w:rsidRPr="00A40B6E">
        <w:rPr>
          <w:rFonts w:asciiTheme="majorHAnsi" w:hAnsiTheme="majorHAnsi" w:cstheme="majorHAnsi"/>
        </w:rPr>
        <w:t>om</w:t>
      </w:r>
      <w:r w:rsidR="005649BB" w:rsidRPr="00A40B6E">
        <w:rPr>
          <w:rFonts w:asciiTheme="majorHAnsi" w:hAnsiTheme="majorHAnsi" w:cstheme="majorHAnsi"/>
        </w:rPr>
        <w:t>i</w:t>
      </w:r>
      <w:r w:rsidR="007F4562" w:rsidRPr="00A40B6E">
        <w:rPr>
          <w:rFonts w:asciiTheme="majorHAnsi" w:hAnsiTheme="majorHAnsi" w:cstheme="majorHAnsi"/>
        </w:rPr>
        <w:t>s prekėmi</w:t>
      </w:r>
      <w:r w:rsidR="00FD5D8D" w:rsidRPr="00A40B6E">
        <w:rPr>
          <w:rFonts w:asciiTheme="majorHAnsi" w:hAnsiTheme="majorHAnsi" w:cstheme="majorHAnsi"/>
        </w:rPr>
        <w:t>s</w:t>
      </w:r>
      <w:r w:rsidR="00B55745" w:rsidRPr="00A40B6E">
        <w:rPr>
          <w:rFonts w:asciiTheme="majorHAnsi" w:hAnsiTheme="majorHAnsi" w:cstheme="majorHAnsi"/>
        </w:rPr>
        <w:t>.</w:t>
      </w:r>
    </w:p>
    <w:p w14:paraId="36484596" w14:textId="01EC721C" w:rsidR="003D6D94" w:rsidRPr="00A40B6E" w:rsidRDefault="00F02F53" w:rsidP="00773778">
      <w:pPr>
        <w:pStyle w:val="Default"/>
        <w:numPr>
          <w:ilvl w:val="1"/>
          <w:numId w:val="43"/>
        </w:numPr>
        <w:jc w:val="both"/>
        <w:rPr>
          <w:rFonts w:asciiTheme="majorHAnsi" w:hAnsiTheme="majorHAnsi" w:cstheme="majorHAnsi"/>
          <w:b/>
          <w:sz w:val="22"/>
          <w:szCs w:val="22"/>
          <w:lang w:eastAsia="lt-LT"/>
        </w:rPr>
      </w:pPr>
      <w:r w:rsidRPr="00A40B6E">
        <w:rPr>
          <w:rFonts w:asciiTheme="majorHAnsi" w:hAnsiTheme="majorHAnsi" w:cstheme="majorHAnsi"/>
          <w:b/>
          <w:sz w:val="22"/>
          <w:szCs w:val="22"/>
          <w:lang w:eastAsia="lt-LT"/>
        </w:rPr>
        <w:t>Neproporcingai diskriminuoja</w:t>
      </w:r>
      <w:r w:rsidR="005649BB" w:rsidRPr="00A40B6E">
        <w:rPr>
          <w:rFonts w:asciiTheme="majorHAnsi" w:hAnsiTheme="majorHAnsi" w:cstheme="majorHAnsi"/>
          <w:b/>
          <w:sz w:val="22"/>
          <w:szCs w:val="22"/>
          <w:lang w:eastAsia="lt-LT"/>
        </w:rPr>
        <w:t>mi</w:t>
      </w:r>
      <w:r w:rsidRPr="00A40B6E">
        <w:rPr>
          <w:rFonts w:asciiTheme="majorHAnsi" w:hAnsiTheme="majorHAnsi" w:cstheme="majorHAnsi"/>
          <w:b/>
          <w:sz w:val="22"/>
          <w:szCs w:val="22"/>
          <w:lang w:eastAsia="lt-LT"/>
        </w:rPr>
        <w:t xml:space="preserve"> </w:t>
      </w:r>
      <w:r w:rsidR="005649BB" w:rsidRPr="00A40B6E">
        <w:rPr>
          <w:rFonts w:asciiTheme="majorHAnsi" w:hAnsiTheme="majorHAnsi" w:cstheme="majorHAnsi"/>
          <w:b/>
          <w:sz w:val="22"/>
          <w:szCs w:val="22"/>
          <w:lang w:eastAsia="lt-LT"/>
        </w:rPr>
        <w:t>prekiautojai</w:t>
      </w:r>
      <w:r w:rsidR="007568F2" w:rsidRPr="00A40B6E">
        <w:rPr>
          <w:rFonts w:asciiTheme="majorHAnsi" w:hAnsiTheme="majorHAnsi" w:cstheme="majorHAnsi"/>
          <w:b/>
          <w:sz w:val="22"/>
          <w:szCs w:val="22"/>
          <w:lang w:eastAsia="lt-LT"/>
        </w:rPr>
        <w:t xml:space="preserve"> tabaku</w:t>
      </w:r>
      <w:r w:rsidR="001B68F6" w:rsidRPr="00A40B6E">
        <w:rPr>
          <w:rFonts w:asciiTheme="majorHAnsi" w:hAnsiTheme="majorHAnsi" w:cstheme="majorHAnsi"/>
          <w:b/>
          <w:sz w:val="22"/>
          <w:szCs w:val="22"/>
          <w:lang w:eastAsia="lt-LT"/>
        </w:rPr>
        <w:t xml:space="preserve">, kurie </w:t>
      </w:r>
      <w:r w:rsidR="00F501C7" w:rsidRPr="00A40B6E">
        <w:rPr>
          <w:rFonts w:asciiTheme="majorHAnsi" w:hAnsiTheme="majorHAnsi" w:cstheme="majorHAnsi"/>
          <w:b/>
          <w:sz w:val="22"/>
          <w:szCs w:val="22"/>
          <w:lang w:eastAsia="lt-LT"/>
        </w:rPr>
        <w:t>turės uždengti išorines vitrinas ir kitus parduotuvės išorinius įrenginius</w:t>
      </w:r>
      <w:r w:rsidRPr="00A40B6E">
        <w:rPr>
          <w:rFonts w:asciiTheme="majorHAnsi" w:hAnsiTheme="majorHAnsi" w:cstheme="majorHAnsi"/>
          <w:b/>
          <w:sz w:val="22"/>
          <w:szCs w:val="22"/>
          <w:lang w:eastAsia="lt-LT"/>
        </w:rPr>
        <w:t xml:space="preserve">. </w:t>
      </w:r>
      <w:r w:rsidR="00311E56" w:rsidRPr="00A40B6E">
        <w:rPr>
          <w:rFonts w:asciiTheme="majorHAnsi" w:hAnsiTheme="majorHAnsi" w:cstheme="majorHAnsi"/>
          <w:sz w:val="22"/>
          <w:szCs w:val="22"/>
          <w:lang w:eastAsia="lt-LT"/>
        </w:rPr>
        <w:t xml:space="preserve">Draudimas eksponuoti tabako ir susijusius gaminius </w:t>
      </w:r>
      <w:r w:rsidR="005649BB" w:rsidRPr="00A40B6E">
        <w:rPr>
          <w:rFonts w:asciiTheme="majorHAnsi" w:hAnsiTheme="majorHAnsi" w:cstheme="majorHAnsi"/>
          <w:sz w:val="22"/>
          <w:szCs w:val="22"/>
          <w:lang w:eastAsia="lt-LT"/>
        </w:rPr>
        <w:t xml:space="preserve">išorinėse </w:t>
      </w:r>
      <w:r w:rsidR="00311E56" w:rsidRPr="00A40B6E">
        <w:rPr>
          <w:rFonts w:asciiTheme="majorHAnsi" w:hAnsiTheme="majorHAnsi" w:cstheme="majorHAnsi"/>
          <w:sz w:val="22"/>
          <w:szCs w:val="22"/>
          <w:lang w:eastAsia="lt-LT"/>
        </w:rPr>
        <w:t xml:space="preserve">parduotuvės </w:t>
      </w:r>
      <w:r w:rsidR="005649BB" w:rsidRPr="00A40B6E">
        <w:rPr>
          <w:rFonts w:asciiTheme="majorHAnsi" w:hAnsiTheme="majorHAnsi" w:cstheme="majorHAnsi"/>
          <w:sz w:val="22"/>
          <w:szCs w:val="22"/>
          <w:lang w:eastAsia="lt-LT"/>
        </w:rPr>
        <w:t xml:space="preserve">vitrinose </w:t>
      </w:r>
      <w:r w:rsidR="00311E56" w:rsidRPr="00A40B6E">
        <w:rPr>
          <w:rFonts w:asciiTheme="majorHAnsi" w:hAnsiTheme="majorHAnsi" w:cstheme="majorHAnsi"/>
          <w:sz w:val="22"/>
          <w:szCs w:val="22"/>
          <w:lang w:eastAsia="lt-LT"/>
        </w:rPr>
        <w:t xml:space="preserve">ir </w:t>
      </w:r>
      <w:r w:rsidR="005649BB" w:rsidRPr="00A40B6E">
        <w:rPr>
          <w:rFonts w:asciiTheme="majorHAnsi" w:hAnsiTheme="majorHAnsi" w:cstheme="majorHAnsi"/>
          <w:sz w:val="22"/>
          <w:szCs w:val="22"/>
          <w:lang w:eastAsia="lt-LT"/>
        </w:rPr>
        <w:t xml:space="preserve">kituose </w:t>
      </w:r>
      <w:r w:rsidR="00311E56" w:rsidRPr="00A40B6E">
        <w:rPr>
          <w:rFonts w:asciiTheme="majorHAnsi" w:hAnsiTheme="majorHAnsi" w:cstheme="majorHAnsi"/>
          <w:sz w:val="22"/>
          <w:szCs w:val="22"/>
          <w:lang w:eastAsia="lt-LT"/>
        </w:rPr>
        <w:t xml:space="preserve">parduotuvės </w:t>
      </w:r>
      <w:r w:rsidR="005649BB" w:rsidRPr="00A40B6E">
        <w:rPr>
          <w:rFonts w:asciiTheme="majorHAnsi" w:hAnsiTheme="majorHAnsi" w:cstheme="majorHAnsi"/>
          <w:sz w:val="22"/>
          <w:szCs w:val="22"/>
          <w:lang w:eastAsia="lt-LT"/>
        </w:rPr>
        <w:t xml:space="preserve">išoriniuose </w:t>
      </w:r>
      <w:r w:rsidR="00311E56" w:rsidRPr="00A40B6E">
        <w:rPr>
          <w:rFonts w:asciiTheme="majorHAnsi" w:hAnsiTheme="majorHAnsi" w:cstheme="majorHAnsi"/>
          <w:sz w:val="22"/>
          <w:szCs w:val="22"/>
          <w:lang w:eastAsia="lt-LT"/>
        </w:rPr>
        <w:t>įrenginiu</w:t>
      </w:r>
      <w:r w:rsidR="005649BB" w:rsidRPr="00A40B6E">
        <w:rPr>
          <w:rFonts w:asciiTheme="majorHAnsi" w:hAnsiTheme="majorHAnsi" w:cstheme="majorHAnsi"/>
          <w:sz w:val="22"/>
          <w:szCs w:val="22"/>
          <w:lang w:eastAsia="lt-LT"/>
        </w:rPr>
        <w:t>ose</w:t>
      </w:r>
      <w:r w:rsidR="00311E56" w:rsidRPr="00A40B6E">
        <w:rPr>
          <w:rFonts w:asciiTheme="majorHAnsi" w:hAnsiTheme="majorHAnsi" w:cstheme="majorHAnsi"/>
          <w:sz w:val="22"/>
          <w:szCs w:val="22"/>
          <w:lang w:eastAsia="lt-LT"/>
        </w:rPr>
        <w:t xml:space="preserve"> neproporcingai paveiks specializuotas tabako parduotuves</w:t>
      </w:r>
      <w:r w:rsidR="007F7EC5" w:rsidRPr="00A40B6E">
        <w:rPr>
          <w:rFonts w:asciiTheme="majorHAnsi" w:hAnsiTheme="majorHAnsi" w:cstheme="majorHAnsi"/>
          <w:sz w:val="22"/>
          <w:szCs w:val="22"/>
          <w:lang w:eastAsia="lt-LT"/>
        </w:rPr>
        <w:t>, kurio</w:t>
      </w:r>
      <w:r w:rsidR="00F501C7" w:rsidRPr="00A40B6E">
        <w:rPr>
          <w:rFonts w:asciiTheme="majorHAnsi" w:hAnsiTheme="majorHAnsi" w:cstheme="majorHAnsi"/>
          <w:sz w:val="22"/>
          <w:szCs w:val="22"/>
          <w:lang w:eastAsia="lt-LT"/>
        </w:rPr>
        <w:t>m</w:t>
      </w:r>
      <w:r w:rsidR="007F7EC5" w:rsidRPr="00A40B6E">
        <w:rPr>
          <w:rFonts w:asciiTheme="majorHAnsi" w:hAnsiTheme="majorHAnsi" w:cstheme="majorHAnsi"/>
          <w:sz w:val="22"/>
          <w:szCs w:val="22"/>
          <w:lang w:eastAsia="lt-LT"/>
        </w:rPr>
        <w:t>s</w:t>
      </w:r>
      <w:r w:rsidR="00F501C7" w:rsidRPr="00A40B6E">
        <w:rPr>
          <w:rFonts w:asciiTheme="majorHAnsi" w:hAnsiTheme="majorHAnsi" w:cstheme="majorHAnsi"/>
          <w:sz w:val="22"/>
          <w:szCs w:val="22"/>
          <w:lang w:eastAsia="lt-LT"/>
        </w:rPr>
        <w:t xml:space="preserve"> reikės pakeisti visas vitrinas ir išorinius įrenginius (pvz.</w:t>
      </w:r>
      <w:r w:rsidR="005649BB" w:rsidRPr="00A40B6E">
        <w:rPr>
          <w:rFonts w:asciiTheme="majorHAnsi" w:hAnsiTheme="majorHAnsi" w:cstheme="majorHAnsi"/>
          <w:sz w:val="22"/>
          <w:szCs w:val="22"/>
          <w:lang w:eastAsia="lt-LT"/>
        </w:rPr>
        <w:t>,</w:t>
      </w:r>
      <w:r w:rsidR="00F501C7" w:rsidRPr="00A40B6E">
        <w:rPr>
          <w:rFonts w:asciiTheme="majorHAnsi" w:hAnsiTheme="majorHAnsi" w:cstheme="majorHAnsi"/>
          <w:sz w:val="22"/>
          <w:szCs w:val="22"/>
          <w:lang w:eastAsia="lt-LT"/>
        </w:rPr>
        <w:t xml:space="preserve"> specializuotos tabako ir susijusių gaminių parduotuvės </w:t>
      </w:r>
      <w:r w:rsidR="00BB637F" w:rsidRPr="00A40B6E">
        <w:rPr>
          <w:rFonts w:asciiTheme="majorHAnsi" w:hAnsiTheme="majorHAnsi" w:cstheme="majorHAnsi"/>
          <w:sz w:val="22"/>
          <w:szCs w:val="22"/>
          <w:lang w:eastAsia="lt-LT"/>
        </w:rPr>
        <w:t>prekybos centrų alėjų</w:t>
      </w:r>
      <w:r w:rsidR="00F501C7" w:rsidRPr="00A40B6E">
        <w:rPr>
          <w:rFonts w:asciiTheme="majorHAnsi" w:hAnsiTheme="majorHAnsi" w:cstheme="majorHAnsi"/>
          <w:sz w:val="22"/>
          <w:szCs w:val="22"/>
          <w:lang w:eastAsia="lt-LT"/>
        </w:rPr>
        <w:t xml:space="preserve"> „salelėse“).</w:t>
      </w:r>
      <w:r w:rsidR="001B68F6" w:rsidRPr="00A40B6E">
        <w:rPr>
          <w:rFonts w:asciiTheme="majorHAnsi" w:hAnsiTheme="majorHAnsi" w:cstheme="majorHAnsi"/>
          <w:sz w:val="22"/>
          <w:szCs w:val="22"/>
          <w:lang w:eastAsia="lt-LT"/>
        </w:rPr>
        <w:t xml:space="preserve"> T</w:t>
      </w:r>
      <w:r w:rsidR="003D6D94" w:rsidRPr="00A40B6E">
        <w:rPr>
          <w:rFonts w:asciiTheme="majorHAnsi" w:hAnsiTheme="majorHAnsi" w:cstheme="majorHAnsi"/>
          <w:sz w:val="22"/>
          <w:szCs w:val="22"/>
          <w:lang w:eastAsia="lt-LT"/>
        </w:rPr>
        <w:t>ai gali sumažinti šių parduotuvių atpažįstamumą ir sumažinti tabako ir susijusių gaminių pardavimus</w:t>
      </w:r>
      <w:r w:rsidR="007568F2" w:rsidRPr="00A40B6E">
        <w:rPr>
          <w:rFonts w:asciiTheme="majorHAnsi" w:hAnsiTheme="majorHAnsi" w:cstheme="majorHAnsi"/>
          <w:sz w:val="22"/>
          <w:szCs w:val="22"/>
          <w:lang w:eastAsia="lt-LT"/>
        </w:rPr>
        <w:t>, o</w:t>
      </w:r>
      <w:r w:rsidR="003D6D94" w:rsidRPr="00A40B6E">
        <w:rPr>
          <w:rFonts w:asciiTheme="majorHAnsi" w:hAnsiTheme="majorHAnsi" w:cstheme="majorHAnsi"/>
          <w:sz w:val="22"/>
          <w:szCs w:val="22"/>
          <w:lang w:eastAsia="lt-LT"/>
        </w:rPr>
        <w:t xml:space="preserve"> daliai parduotuvių gali iškilti bankroto rizika.</w:t>
      </w:r>
      <w:r w:rsidR="00DC33CC" w:rsidRPr="00A40B6E">
        <w:rPr>
          <w:rFonts w:asciiTheme="majorHAnsi" w:hAnsiTheme="majorHAnsi" w:cstheme="majorHAnsi"/>
          <w:sz w:val="22"/>
          <w:szCs w:val="22"/>
          <w:lang w:eastAsia="lt-LT"/>
        </w:rPr>
        <w:t xml:space="preserve"> </w:t>
      </w:r>
      <w:r w:rsidR="003D6D94" w:rsidRPr="00A40B6E">
        <w:rPr>
          <w:rFonts w:asciiTheme="majorHAnsi" w:hAnsiTheme="majorHAnsi" w:cstheme="majorHAnsi"/>
          <w:sz w:val="22"/>
          <w:szCs w:val="22"/>
          <w:lang w:eastAsia="lt-LT"/>
        </w:rPr>
        <w:t>Tuo metu didesnės parduotuvės, turinčios atskirus tabako skyrius</w:t>
      </w:r>
      <w:r w:rsidR="001B68F6" w:rsidRPr="00A40B6E">
        <w:rPr>
          <w:rFonts w:asciiTheme="majorHAnsi" w:hAnsiTheme="majorHAnsi" w:cstheme="majorHAnsi"/>
          <w:sz w:val="22"/>
          <w:szCs w:val="22"/>
          <w:lang w:eastAsia="lt-LT"/>
        </w:rPr>
        <w:t>, bei parduotuvės, kurių produkcija yra parduodama ne tik išorinėse vitrinose</w:t>
      </w:r>
      <w:r w:rsidR="00F93B9D" w:rsidRPr="00A40B6E">
        <w:rPr>
          <w:rFonts w:asciiTheme="majorHAnsi" w:hAnsiTheme="majorHAnsi" w:cstheme="majorHAnsi"/>
          <w:sz w:val="22"/>
          <w:szCs w:val="22"/>
          <w:lang w:eastAsia="lt-LT"/>
        </w:rPr>
        <w:t xml:space="preserve"> </w:t>
      </w:r>
      <w:r w:rsidR="00F501C7" w:rsidRPr="00A40B6E">
        <w:rPr>
          <w:rFonts w:asciiTheme="majorHAnsi" w:hAnsiTheme="majorHAnsi" w:cstheme="majorHAnsi"/>
          <w:sz w:val="22"/>
          <w:szCs w:val="22"/>
          <w:lang w:eastAsia="lt-LT"/>
        </w:rPr>
        <w:t xml:space="preserve">ir (ar) </w:t>
      </w:r>
      <w:r w:rsidR="00F93B9D" w:rsidRPr="00A40B6E">
        <w:rPr>
          <w:rFonts w:asciiTheme="majorHAnsi" w:hAnsiTheme="majorHAnsi" w:cstheme="majorHAnsi"/>
          <w:sz w:val="22"/>
          <w:szCs w:val="22"/>
          <w:lang w:eastAsia="lt-LT"/>
        </w:rPr>
        <w:t>kitu</w:t>
      </w:r>
      <w:r w:rsidR="00F501C7" w:rsidRPr="00A40B6E">
        <w:rPr>
          <w:rFonts w:asciiTheme="majorHAnsi" w:hAnsiTheme="majorHAnsi" w:cstheme="majorHAnsi"/>
          <w:sz w:val="22"/>
          <w:szCs w:val="22"/>
          <w:lang w:eastAsia="lt-LT"/>
        </w:rPr>
        <w:t>o</w:t>
      </w:r>
      <w:r w:rsidR="00F93B9D" w:rsidRPr="00A40B6E">
        <w:rPr>
          <w:rFonts w:asciiTheme="majorHAnsi" w:hAnsiTheme="majorHAnsi" w:cstheme="majorHAnsi"/>
          <w:sz w:val="22"/>
          <w:szCs w:val="22"/>
          <w:lang w:eastAsia="lt-LT"/>
        </w:rPr>
        <w:t>s</w:t>
      </w:r>
      <w:r w:rsidR="00F501C7" w:rsidRPr="00A40B6E">
        <w:rPr>
          <w:rFonts w:asciiTheme="majorHAnsi" w:hAnsiTheme="majorHAnsi" w:cstheme="majorHAnsi"/>
          <w:sz w:val="22"/>
          <w:szCs w:val="22"/>
          <w:lang w:eastAsia="lt-LT"/>
        </w:rPr>
        <w:t>e</w:t>
      </w:r>
      <w:r w:rsidR="00F93B9D" w:rsidRPr="00A40B6E">
        <w:rPr>
          <w:rFonts w:asciiTheme="majorHAnsi" w:hAnsiTheme="majorHAnsi" w:cstheme="majorHAnsi"/>
          <w:sz w:val="22"/>
          <w:szCs w:val="22"/>
          <w:lang w:eastAsia="lt-LT"/>
        </w:rPr>
        <w:t xml:space="preserve"> išoriniu</w:t>
      </w:r>
      <w:r w:rsidR="00F501C7" w:rsidRPr="00A40B6E">
        <w:rPr>
          <w:rFonts w:asciiTheme="majorHAnsi" w:hAnsiTheme="majorHAnsi" w:cstheme="majorHAnsi"/>
          <w:sz w:val="22"/>
          <w:szCs w:val="22"/>
          <w:lang w:eastAsia="lt-LT"/>
        </w:rPr>
        <w:t>o</w:t>
      </w:r>
      <w:r w:rsidR="00F93B9D" w:rsidRPr="00A40B6E">
        <w:rPr>
          <w:rFonts w:asciiTheme="majorHAnsi" w:hAnsiTheme="majorHAnsi" w:cstheme="majorHAnsi"/>
          <w:sz w:val="22"/>
          <w:szCs w:val="22"/>
          <w:lang w:eastAsia="lt-LT"/>
        </w:rPr>
        <w:t>s</w:t>
      </w:r>
      <w:r w:rsidR="00F501C7" w:rsidRPr="00A40B6E">
        <w:rPr>
          <w:rFonts w:asciiTheme="majorHAnsi" w:hAnsiTheme="majorHAnsi" w:cstheme="majorHAnsi"/>
          <w:sz w:val="22"/>
          <w:szCs w:val="22"/>
          <w:lang w:eastAsia="lt-LT"/>
        </w:rPr>
        <w:t>e</w:t>
      </w:r>
      <w:r w:rsidR="00F93B9D" w:rsidRPr="00A40B6E">
        <w:rPr>
          <w:rFonts w:asciiTheme="majorHAnsi" w:hAnsiTheme="majorHAnsi" w:cstheme="majorHAnsi"/>
          <w:sz w:val="22"/>
          <w:szCs w:val="22"/>
          <w:lang w:eastAsia="lt-LT"/>
        </w:rPr>
        <w:t xml:space="preserve"> įrenginiu</w:t>
      </w:r>
      <w:r w:rsidR="00F501C7" w:rsidRPr="00A40B6E">
        <w:rPr>
          <w:rFonts w:asciiTheme="majorHAnsi" w:hAnsiTheme="majorHAnsi" w:cstheme="majorHAnsi"/>
          <w:sz w:val="22"/>
          <w:szCs w:val="22"/>
          <w:lang w:eastAsia="lt-LT"/>
        </w:rPr>
        <w:t>o</w:t>
      </w:r>
      <w:r w:rsidR="00F93B9D" w:rsidRPr="00A40B6E">
        <w:rPr>
          <w:rFonts w:asciiTheme="majorHAnsi" w:hAnsiTheme="majorHAnsi" w:cstheme="majorHAnsi"/>
          <w:sz w:val="22"/>
          <w:szCs w:val="22"/>
          <w:lang w:eastAsia="lt-LT"/>
        </w:rPr>
        <w:t>s</w:t>
      </w:r>
      <w:r w:rsidR="00F501C7" w:rsidRPr="00A40B6E">
        <w:rPr>
          <w:rFonts w:asciiTheme="majorHAnsi" w:hAnsiTheme="majorHAnsi" w:cstheme="majorHAnsi"/>
          <w:sz w:val="22"/>
          <w:szCs w:val="22"/>
          <w:lang w:eastAsia="lt-LT"/>
        </w:rPr>
        <w:t>e</w:t>
      </w:r>
      <w:r w:rsidR="001B68F6" w:rsidRPr="00A40B6E">
        <w:rPr>
          <w:rFonts w:asciiTheme="majorHAnsi" w:hAnsiTheme="majorHAnsi" w:cstheme="majorHAnsi"/>
          <w:sz w:val="22"/>
          <w:szCs w:val="22"/>
          <w:lang w:eastAsia="lt-LT"/>
        </w:rPr>
        <w:t>,</w:t>
      </w:r>
      <w:r w:rsidR="003D6D94" w:rsidRPr="00A40B6E">
        <w:rPr>
          <w:rFonts w:asciiTheme="majorHAnsi" w:hAnsiTheme="majorHAnsi" w:cstheme="majorHAnsi"/>
          <w:sz w:val="22"/>
          <w:szCs w:val="22"/>
          <w:lang w:eastAsia="lt-LT"/>
        </w:rPr>
        <w:t xml:space="preserve"> lengviau </w:t>
      </w:r>
      <w:r w:rsidR="003D6D94" w:rsidRPr="00A40B6E">
        <w:rPr>
          <w:rFonts w:asciiTheme="majorHAnsi" w:hAnsiTheme="majorHAnsi" w:cstheme="majorHAnsi"/>
          <w:sz w:val="22"/>
          <w:szCs w:val="22"/>
        </w:rPr>
        <w:t>prisitaikys prie padidėjusių kaštų.</w:t>
      </w:r>
    </w:p>
    <w:p w14:paraId="79466E05" w14:textId="5A7865EC" w:rsidR="00F02F53" w:rsidRPr="00A40B6E" w:rsidRDefault="00F02F53" w:rsidP="00773778">
      <w:pPr>
        <w:pStyle w:val="NoSpacing"/>
        <w:numPr>
          <w:ilvl w:val="0"/>
          <w:numId w:val="43"/>
        </w:numPr>
        <w:rPr>
          <w:rFonts w:asciiTheme="majorHAnsi" w:hAnsiTheme="majorHAnsi" w:cstheme="majorHAnsi"/>
        </w:rPr>
      </w:pPr>
      <w:r w:rsidRPr="00A40B6E">
        <w:rPr>
          <w:rFonts w:asciiTheme="majorHAnsi" w:hAnsiTheme="majorHAnsi" w:cstheme="majorHAnsi"/>
          <w:b/>
        </w:rPr>
        <w:t xml:space="preserve">Apribojamas kelias į Lietuvos rinką ateiti kitiems tabako gamintojams. </w:t>
      </w:r>
      <w:r w:rsidRPr="00A40B6E">
        <w:rPr>
          <w:rFonts w:asciiTheme="majorHAnsi" w:hAnsiTheme="majorHAnsi" w:cstheme="majorHAnsi"/>
        </w:rPr>
        <w:t xml:space="preserve">Įvedus pardavimo tiesiogiai neprieinamu būdu reguliavimą, </w:t>
      </w:r>
      <w:r w:rsidR="007568F2" w:rsidRPr="00A40B6E">
        <w:rPr>
          <w:rFonts w:asciiTheme="majorHAnsi" w:hAnsiTheme="majorHAnsi" w:cstheme="majorHAnsi"/>
        </w:rPr>
        <w:t xml:space="preserve">parduotuvėse ir tabako skyriuose, kurie turės uždengti visas išorines vitrinas ir kitus parduotuvių išorinius įrenginius, gyventojai </w:t>
      </w:r>
      <w:r w:rsidRPr="00A40B6E">
        <w:rPr>
          <w:rFonts w:asciiTheme="majorHAnsi" w:hAnsiTheme="majorHAnsi" w:cstheme="majorHAnsi"/>
        </w:rPr>
        <w:t>negalės matyti, kokios tabako ir susijusios prekės yra parduodamos. Tai apsunkin</w:t>
      </w:r>
      <w:r w:rsidR="00C211B9" w:rsidRPr="00A40B6E">
        <w:rPr>
          <w:rFonts w:asciiTheme="majorHAnsi" w:hAnsiTheme="majorHAnsi" w:cstheme="majorHAnsi"/>
        </w:rPr>
        <w:t>s</w:t>
      </w:r>
      <w:r w:rsidRPr="00A40B6E">
        <w:rPr>
          <w:rFonts w:asciiTheme="majorHAnsi" w:hAnsiTheme="majorHAnsi" w:cstheme="majorHAnsi"/>
        </w:rPr>
        <w:t xml:space="preserve"> kelią į rinką ateiti naujiems tabako produktams ir prekiniams ženklams</w:t>
      </w:r>
      <w:r w:rsidRPr="00A40B6E">
        <w:rPr>
          <w:rStyle w:val="FootnoteReference"/>
          <w:rFonts w:asciiTheme="majorHAnsi" w:hAnsiTheme="majorHAnsi" w:cstheme="majorHAnsi"/>
        </w:rPr>
        <w:footnoteReference w:id="15"/>
      </w:r>
      <w:r w:rsidRPr="00A40B6E">
        <w:rPr>
          <w:rFonts w:asciiTheme="majorHAnsi" w:hAnsiTheme="majorHAnsi" w:cstheme="majorHAnsi"/>
        </w:rPr>
        <w:t>.</w:t>
      </w:r>
    </w:p>
    <w:p w14:paraId="2B88F63C" w14:textId="0E5371DA" w:rsidR="005A5426" w:rsidRPr="00A40B6E" w:rsidRDefault="005A5426" w:rsidP="009010F1">
      <w:pPr>
        <w:pStyle w:val="Heading2"/>
        <w:numPr>
          <w:ilvl w:val="0"/>
          <w:numId w:val="29"/>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A40B6E">
        <w:rPr>
          <w:rFonts w:asciiTheme="majorHAnsi" w:hAnsiTheme="majorHAnsi" w:cstheme="majorHAnsi"/>
        </w:rPr>
        <w:t>Dėl nerūkymo zonų plėtros</w:t>
      </w:r>
    </w:p>
    <w:p w14:paraId="6013ECFA" w14:textId="760B9371" w:rsidR="006B154E" w:rsidRPr="00A40B6E" w:rsidRDefault="009D32FF" w:rsidP="00471F6E">
      <w:pPr>
        <w:rPr>
          <w:rFonts w:asciiTheme="majorHAnsi" w:hAnsiTheme="majorHAnsi" w:cstheme="majorHAnsi"/>
        </w:rPr>
      </w:pPr>
      <w:r w:rsidRPr="00A40B6E">
        <w:rPr>
          <w:rFonts w:asciiTheme="majorHAnsi" w:hAnsiTheme="majorHAnsi" w:cstheme="majorHAnsi"/>
        </w:rPr>
        <w:t>Į</w:t>
      </w:r>
      <w:r w:rsidR="006B154E" w:rsidRPr="00A40B6E">
        <w:rPr>
          <w:rFonts w:asciiTheme="majorHAnsi" w:hAnsiTheme="majorHAnsi" w:cstheme="majorHAnsi"/>
        </w:rPr>
        <w:t>statymo projekto 15 straipsniu siūloma uždrausti rūkyti (vartoti tabaką, tabako gaminius, su tabako gaminiais susijusius gaminius) kai kuriose privačios nuosavybės objektuose ir kai kuriose viešosiose vietose</w:t>
      </w:r>
      <w:r w:rsidR="005A5426" w:rsidRPr="00A40B6E">
        <w:rPr>
          <w:rStyle w:val="FootnoteReference"/>
          <w:rFonts w:asciiTheme="majorHAnsi" w:hAnsiTheme="majorHAnsi" w:cstheme="majorHAnsi"/>
        </w:rPr>
        <w:footnoteReference w:id="16"/>
      </w:r>
      <w:r w:rsidR="006B154E" w:rsidRPr="00A40B6E">
        <w:rPr>
          <w:rFonts w:asciiTheme="majorHAnsi" w:hAnsiTheme="majorHAnsi" w:cstheme="majorHAnsi"/>
        </w:rPr>
        <w:t>.</w:t>
      </w:r>
    </w:p>
    <w:p w14:paraId="6CAEE07F" w14:textId="1943438F" w:rsidR="006B154E" w:rsidRPr="00A40B6E" w:rsidRDefault="006B154E" w:rsidP="006B154E">
      <w:pPr>
        <w:rPr>
          <w:rFonts w:asciiTheme="majorHAnsi" w:hAnsiTheme="majorHAnsi" w:cstheme="majorHAnsi"/>
        </w:rPr>
      </w:pPr>
      <w:r w:rsidRPr="00A40B6E">
        <w:rPr>
          <w:rFonts w:asciiTheme="majorHAnsi" w:hAnsiTheme="majorHAnsi" w:cstheme="majorHAnsi"/>
        </w:rPr>
        <w:t>Atkreipiame dėmesį, kad dauguma šių draudimų būtų taikoma privačios nuosavybės objektams. Tokiu būdu Projektas ne reglamentuoja elgesį valstybinės ar viešos nuosavybės objektuose, o draudžia konkretų elgesį privačios nuosavybės objektuose.</w:t>
      </w:r>
    </w:p>
    <w:p w14:paraId="44837953" w14:textId="2EE206AE" w:rsidR="009D32FF" w:rsidRPr="00A40B6E" w:rsidRDefault="009D32FF" w:rsidP="006B154E">
      <w:pPr>
        <w:rPr>
          <w:rFonts w:asciiTheme="majorHAnsi" w:hAnsiTheme="majorHAnsi" w:cstheme="majorHAnsi"/>
        </w:rPr>
      </w:pPr>
    </w:p>
    <w:p w14:paraId="30271A9A" w14:textId="089D9183" w:rsidR="009D32FF" w:rsidRPr="00A40B6E" w:rsidRDefault="009D32FF" w:rsidP="006B154E">
      <w:pPr>
        <w:rPr>
          <w:rFonts w:asciiTheme="majorHAnsi" w:hAnsiTheme="majorHAnsi" w:cstheme="majorHAnsi"/>
        </w:rPr>
      </w:pPr>
    </w:p>
    <w:p w14:paraId="1FE40836" w14:textId="0AF94A6E" w:rsidR="009D32FF" w:rsidRPr="00A40B6E" w:rsidRDefault="009D32FF" w:rsidP="006B154E">
      <w:pPr>
        <w:rPr>
          <w:rFonts w:asciiTheme="majorHAnsi" w:hAnsiTheme="majorHAnsi" w:cstheme="majorHAnsi"/>
          <w:sz w:val="20"/>
        </w:rPr>
      </w:pPr>
      <w:r w:rsidRPr="00A40B6E">
        <w:rPr>
          <w:rFonts w:asciiTheme="majorHAnsi" w:hAnsiTheme="majorHAnsi" w:cstheme="majorHAnsi"/>
          <w:sz w:val="20"/>
        </w:rPr>
        <w:t xml:space="preserve">3 lentelė. Siūlomų draudimų rūkyti </w:t>
      </w:r>
      <w:r w:rsidR="000E3584" w:rsidRPr="00A40B6E">
        <w:rPr>
          <w:rFonts w:asciiTheme="majorHAnsi" w:hAnsiTheme="majorHAnsi" w:cstheme="majorHAnsi"/>
          <w:sz w:val="20"/>
        </w:rPr>
        <w:t>apžvalga</w:t>
      </w:r>
      <w:r w:rsidR="00D35668" w:rsidRPr="00A40B6E">
        <w:rPr>
          <w:rFonts w:asciiTheme="majorHAnsi" w:hAnsiTheme="majorHAnsi" w:cstheme="majorHAnsi"/>
          <w:sz w:val="20"/>
        </w:rPr>
        <w:t>.</w:t>
      </w:r>
    </w:p>
    <w:tbl>
      <w:tblPr>
        <w:tblW w:w="9638" w:type="dxa"/>
        <w:tblCellMar>
          <w:top w:w="15" w:type="dxa"/>
          <w:left w:w="15" w:type="dxa"/>
          <w:bottom w:w="15" w:type="dxa"/>
          <w:right w:w="15" w:type="dxa"/>
        </w:tblCellMar>
        <w:tblLook w:val="04A0" w:firstRow="1" w:lastRow="0" w:firstColumn="1" w:lastColumn="0" w:noHBand="0" w:noVBand="1"/>
      </w:tblPr>
      <w:tblGrid>
        <w:gridCol w:w="2825"/>
        <w:gridCol w:w="3969"/>
        <w:gridCol w:w="2844"/>
      </w:tblGrid>
      <w:tr w:rsidR="006B154E" w:rsidRPr="00A40B6E" w14:paraId="1ED8B33A" w14:textId="77777777" w:rsidTr="00036648">
        <w:trPr>
          <w:trHeight w:val="420"/>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5E5D5"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c>
          <w:tcPr>
            <w:tcW w:w="6813" w:type="dxa"/>
            <w:gridSpan w:val="2"/>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5DFF1BC1"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4F81BD" w:themeColor="accent1"/>
              </w:rPr>
            </w:pPr>
            <w:r w:rsidRPr="00A40B6E">
              <w:rPr>
                <w:rFonts w:asciiTheme="majorHAnsi" w:eastAsia="Times New Roman" w:hAnsiTheme="majorHAnsi" w:cstheme="majorHAnsi"/>
              </w:rPr>
              <w:t>Vietos, objekto nuosavybė</w:t>
            </w:r>
          </w:p>
        </w:tc>
      </w:tr>
      <w:tr w:rsidR="006B154E" w:rsidRPr="00A40B6E" w14:paraId="616AD6D8" w14:textId="77777777" w:rsidTr="00036648">
        <w:tc>
          <w:tcPr>
            <w:tcW w:w="2825" w:type="dxa"/>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hideMark/>
          </w:tcPr>
          <w:p w14:paraId="7A607210" w14:textId="60BBAAFF"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 xml:space="preserve">Vieta, objektas, kur </w:t>
            </w:r>
            <w:r w:rsidR="00036648" w:rsidRPr="00A40B6E">
              <w:rPr>
                <w:rFonts w:asciiTheme="majorHAnsi" w:eastAsia="Times New Roman" w:hAnsiTheme="majorHAnsi" w:cstheme="majorHAnsi"/>
              </w:rPr>
              <w:t xml:space="preserve">būtų </w:t>
            </w:r>
            <w:r w:rsidRPr="00A40B6E">
              <w:rPr>
                <w:rFonts w:asciiTheme="majorHAnsi" w:eastAsia="Times New Roman" w:hAnsiTheme="majorHAnsi" w:cstheme="majorHAnsi"/>
              </w:rPr>
              <w:t>draudžiama rūkyti</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4C047"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Privati</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1565D"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Vieša</w:t>
            </w:r>
            <w:bookmarkStart w:id="0" w:name="_GoBack"/>
            <w:bookmarkEnd w:id="0"/>
          </w:p>
        </w:tc>
      </w:tr>
      <w:tr w:rsidR="00DC0654" w:rsidRPr="00A40B6E" w14:paraId="21C33B1C" w14:textId="77777777" w:rsidTr="00C02711">
        <w:tc>
          <w:tcPr>
            <w:tcW w:w="2825" w:type="dxa"/>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hideMark/>
          </w:tcPr>
          <w:p w14:paraId="5AC10AFD" w14:textId="69B24DA9" w:rsidR="00DC0654" w:rsidRPr="00A40B6E" w:rsidRDefault="00DC0654" w:rsidP="001F7F3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rPr>
            </w:pPr>
            <w:r w:rsidRPr="00A40B6E">
              <w:rPr>
                <w:rFonts w:asciiTheme="majorHAnsi" w:eastAsia="Times New Roman" w:hAnsiTheme="majorHAnsi" w:cstheme="majorHAnsi"/>
              </w:rPr>
              <w:t>Viešajame transporte</w:t>
            </w:r>
          </w:p>
        </w:tc>
        <w:tc>
          <w:tcPr>
            <w:tcW w:w="68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96DB9" w14:textId="75BFA8C7" w:rsidR="00DC0654" w:rsidRPr="00A40B6E" w:rsidRDefault="00DC0654" w:rsidP="00DC065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rPr>
            </w:pPr>
            <w:r w:rsidRPr="00A40B6E">
              <w:rPr>
                <w:rFonts w:asciiTheme="majorHAnsi" w:eastAsia="Times New Roman" w:hAnsiTheme="majorHAnsi" w:cstheme="majorHAnsi"/>
                <w:color w:val="auto"/>
              </w:rPr>
              <w:t>Gali būti privati, gali būti vieša</w:t>
            </w:r>
          </w:p>
        </w:tc>
      </w:tr>
      <w:tr w:rsidR="006B154E" w:rsidRPr="00A40B6E" w14:paraId="132D31AA" w14:textId="77777777" w:rsidTr="00036648">
        <w:tc>
          <w:tcPr>
            <w:tcW w:w="2825" w:type="dxa"/>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hideMark/>
          </w:tcPr>
          <w:p w14:paraId="59BF6009" w14:textId="60A63BD4" w:rsidR="006B154E" w:rsidRPr="00A40B6E" w:rsidRDefault="001F7F3F"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D</w:t>
            </w:r>
            <w:r w:rsidR="006B154E" w:rsidRPr="00A40B6E">
              <w:rPr>
                <w:rFonts w:asciiTheme="majorHAnsi" w:eastAsia="Times New Roman" w:hAnsiTheme="majorHAnsi" w:cstheme="majorHAnsi"/>
              </w:rPr>
              <w:t>augiabučių namų bendrojo naudojimo balkonuose</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42252" w14:textId="42F32ED3"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Privati. Net jei balkoną</w:t>
            </w:r>
            <w:r w:rsidR="004C3E34" w:rsidRPr="00A40B6E">
              <w:rPr>
                <w:rFonts w:asciiTheme="majorHAnsi" w:eastAsia="Times New Roman" w:hAnsiTheme="majorHAnsi" w:cstheme="majorHAnsi"/>
              </w:rPr>
              <w:t xml:space="preserve"> ir galima</w:t>
            </w:r>
            <w:r w:rsidRPr="00A40B6E">
              <w:rPr>
                <w:rFonts w:asciiTheme="majorHAnsi" w:eastAsia="Times New Roman" w:hAnsiTheme="majorHAnsi" w:cstheme="majorHAnsi"/>
              </w:rPr>
              <w:t xml:space="preserve"> pripažinti bendra pastato konstrukcija, jo nuosavybė vis</w:t>
            </w:r>
            <w:r w:rsidR="00CB0ABE">
              <w:rPr>
                <w:rFonts w:asciiTheme="majorHAnsi" w:eastAsia="Times New Roman" w:hAnsiTheme="majorHAnsi" w:cstheme="majorHAnsi"/>
              </w:rPr>
              <w:t xml:space="preserve"> </w:t>
            </w:r>
            <w:r w:rsidRPr="00A40B6E">
              <w:rPr>
                <w:rFonts w:asciiTheme="majorHAnsi" w:eastAsia="Times New Roman" w:hAnsiTheme="majorHAnsi" w:cstheme="majorHAnsi"/>
              </w:rPr>
              <w:t xml:space="preserve">tiek yra </w:t>
            </w:r>
            <w:r w:rsidRPr="00A40B6E">
              <w:rPr>
                <w:rFonts w:asciiTheme="majorHAnsi" w:eastAsia="Times New Roman" w:hAnsiTheme="majorHAnsi" w:cstheme="majorHAnsi"/>
                <w:i/>
                <w:iCs/>
              </w:rPr>
              <w:t xml:space="preserve">privati </w:t>
            </w:r>
            <w:r w:rsidRPr="00A40B6E">
              <w:rPr>
                <w:rFonts w:asciiTheme="majorHAnsi" w:eastAsia="Times New Roman" w:hAnsiTheme="majorHAnsi" w:cstheme="majorHAnsi"/>
              </w:rPr>
              <w:t>jungtinė nuosavybė</w:t>
            </w:r>
            <w:r w:rsidR="004C3E34" w:rsidRPr="00A40B6E">
              <w:rPr>
                <w:rFonts w:asciiTheme="majorHAnsi" w:eastAsia="Times New Roman" w:hAnsiTheme="majorHAnsi" w:cstheme="majorHAnsi"/>
              </w:rPr>
              <w:t>.</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57097"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r>
      <w:tr w:rsidR="006B154E" w:rsidRPr="00A40B6E" w14:paraId="4DA98218" w14:textId="77777777" w:rsidTr="00036648">
        <w:tc>
          <w:tcPr>
            <w:tcW w:w="2825" w:type="dxa"/>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hideMark/>
          </w:tcPr>
          <w:p w14:paraId="47D7144F" w14:textId="42BB3592" w:rsidR="006B154E" w:rsidRPr="00A40B6E" w:rsidRDefault="001F7F3F"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D</w:t>
            </w:r>
            <w:r w:rsidR="006B154E" w:rsidRPr="00A40B6E">
              <w:rPr>
                <w:rFonts w:asciiTheme="majorHAnsi" w:eastAsia="Times New Roman" w:hAnsiTheme="majorHAnsi" w:cstheme="majorHAnsi"/>
              </w:rPr>
              <w:t>augiabučių namų  terasose</w:t>
            </w:r>
          </w:p>
          <w:p w14:paraId="2132F477"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943EF" w14:textId="3C772C81"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 xml:space="preserve">Privati. Net jei terasą </w:t>
            </w:r>
            <w:r w:rsidR="004C3E34" w:rsidRPr="00A40B6E">
              <w:rPr>
                <w:rFonts w:asciiTheme="majorHAnsi" w:eastAsia="Times New Roman" w:hAnsiTheme="majorHAnsi" w:cstheme="majorHAnsi"/>
              </w:rPr>
              <w:t xml:space="preserve">galima </w:t>
            </w:r>
            <w:r w:rsidRPr="00A40B6E">
              <w:rPr>
                <w:rFonts w:asciiTheme="majorHAnsi" w:eastAsia="Times New Roman" w:hAnsiTheme="majorHAnsi" w:cstheme="majorHAnsi"/>
              </w:rPr>
              <w:t>pripažinti bendra pastato konstrukcija, jo</w:t>
            </w:r>
            <w:r w:rsidR="004C3E34" w:rsidRPr="00A40B6E">
              <w:rPr>
                <w:rFonts w:asciiTheme="majorHAnsi" w:eastAsia="Times New Roman" w:hAnsiTheme="majorHAnsi" w:cstheme="majorHAnsi"/>
              </w:rPr>
              <w:t>s</w:t>
            </w:r>
            <w:r w:rsidRPr="00A40B6E">
              <w:rPr>
                <w:rFonts w:asciiTheme="majorHAnsi" w:eastAsia="Times New Roman" w:hAnsiTheme="majorHAnsi" w:cstheme="majorHAnsi"/>
              </w:rPr>
              <w:t xml:space="preserve"> nuosavybė vis</w:t>
            </w:r>
            <w:r w:rsidR="00CB0ABE">
              <w:rPr>
                <w:rFonts w:asciiTheme="majorHAnsi" w:eastAsia="Times New Roman" w:hAnsiTheme="majorHAnsi" w:cstheme="majorHAnsi"/>
              </w:rPr>
              <w:t xml:space="preserve"> </w:t>
            </w:r>
            <w:r w:rsidRPr="00A40B6E">
              <w:rPr>
                <w:rFonts w:asciiTheme="majorHAnsi" w:eastAsia="Times New Roman" w:hAnsiTheme="majorHAnsi" w:cstheme="majorHAnsi"/>
              </w:rPr>
              <w:t xml:space="preserve">tiek yra </w:t>
            </w:r>
            <w:r w:rsidRPr="00A40B6E">
              <w:rPr>
                <w:rFonts w:asciiTheme="majorHAnsi" w:eastAsia="Times New Roman" w:hAnsiTheme="majorHAnsi" w:cstheme="majorHAnsi"/>
                <w:i/>
                <w:iCs/>
              </w:rPr>
              <w:t xml:space="preserve">privati </w:t>
            </w:r>
            <w:r w:rsidRPr="00A40B6E">
              <w:rPr>
                <w:rFonts w:asciiTheme="majorHAnsi" w:eastAsia="Times New Roman" w:hAnsiTheme="majorHAnsi" w:cstheme="majorHAnsi"/>
              </w:rPr>
              <w:t>jungtinė nuosavybė</w:t>
            </w:r>
            <w:r w:rsidR="004C3E34" w:rsidRPr="00A40B6E">
              <w:rPr>
                <w:rFonts w:asciiTheme="majorHAnsi" w:eastAsia="Times New Roman" w:hAnsiTheme="majorHAnsi" w:cstheme="majorHAnsi"/>
              </w:rPr>
              <w:t>.</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00556"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r>
      <w:tr w:rsidR="006B154E" w:rsidRPr="00A40B6E" w14:paraId="5D51632D" w14:textId="77777777" w:rsidTr="00036648">
        <w:tc>
          <w:tcPr>
            <w:tcW w:w="2825" w:type="dxa"/>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hideMark/>
          </w:tcPr>
          <w:p w14:paraId="7AF0A1FD" w14:textId="262B123C" w:rsidR="006B154E" w:rsidRPr="00A40B6E" w:rsidRDefault="001F7F3F"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D</w:t>
            </w:r>
            <w:r w:rsidR="006B154E" w:rsidRPr="00A40B6E">
              <w:rPr>
                <w:rFonts w:asciiTheme="majorHAnsi" w:eastAsia="Times New Roman" w:hAnsiTheme="majorHAnsi" w:cstheme="majorHAnsi"/>
              </w:rPr>
              <w:t>augiabučių namų galerijose</w:t>
            </w:r>
          </w:p>
          <w:p w14:paraId="7C836DDA"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A49A4" w14:textId="106637CB" w:rsidR="006B154E" w:rsidRPr="00A40B6E" w:rsidRDefault="006B154E" w:rsidP="004C3E34">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Privati. Net jei galeriją pripažint</w:t>
            </w:r>
            <w:r w:rsidR="004C3E34" w:rsidRPr="00A40B6E">
              <w:rPr>
                <w:rFonts w:asciiTheme="majorHAnsi" w:eastAsia="Times New Roman" w:hAnsiTheme="majorHAnsi" w:cstheme="majorHAnsi"/>
              </w:rPr>
              <w:t>ume</w:t>
            </w:r>
            <w:r w:rsidRPr="00A40B6E">
              <w:rPr>
                <w:rFonts w:asciiTheme="majorHAnsi" w:eastAsia="Times New Roman" w:hAnsiTheme="majorHAnsi" w:cstheme="majorHAnsi"/>
              </w:rPr>
              <w:t xml:space="preserve"> bendra pastato konstrukcija, jo</w:t>
            </w:r>
            <w:r w:rsidR="004C3E34" w:rsidRPr="00A40B6E">
              <w:rPr>
                <w:rFonts w:asciiTheme="majorHAnsi" w:eastAsia="Times New Roman" w:hAnsiTheme="majorHAnsi" w:cstheme="majorHAnsi"/>
              </w:rPr>
              <w:t>s</w:t>
            </w:r>
            <w:r w:rsidRPr="00A40B6E">
              <w:rPr>
                <w:rFonts w:asciiTheme="majorHAnsi" w:eastAsia="Times New Roman" w:hAnsiTheme="majorHAnsi" w:cstheme="majorHAnsi"/>
              </w:rPr>
              <w:t xml:space="preserve"> nuosavybė vis</w:t>
            </w:r>
            <w:r w:rsidR="00CB0ABE">
              <w:rPr>
                <w:rFonts w:asciiTheme="majorHAnsi" w:eastAsia="Times New Roman" w:hAnsiTheme="majorHAnsi" w:cstheme="majorHAnsi"/>
              </w:rPr>
              <w:t xml:space="preserve"> </w:t>
            </w:r>
            <w:r w:rsidRPr="00A40B6E">
              <w:rPr>
                <w:rFonts w:asciiTheme="majorHAnsi" w:eastAsia="Times New Roman" w:hAnsiTheme="majorHAnsi" w:cstheme="majorHAnsi"/>
              </w:rPr>
              <w:t xml:space="preserve">tiek yra </w:t>
            </w:r>
            <w:r w:rsidRPr="00A40B6E">
              <w:rPr>
                <w:rFonts w:asciiTheme="majorHAnsi" w:eastAsia="Times New Roman" w:hAnsiTheme="majorHAnsi" w:cstheme="majorHAnsi"/>
                <w:i/>
                <w:iCs/>
              </w:rPr>
              <w:t xml:space="preserve">privati </w:t>
            </w:r>
            <w:r w:rsidRPr="00A40B6E">
              <w:rPr>
                <w:rFonts w:asciiTheme="majorHAnsi" w:eastAsia="Times New Roman" w:hAnsiTheme="majorHAnsi" w:cstheme="majorHAnsi"/>
              </w:rPr>
              <w:t>jungtinė nuosavybė</w:t>
            </w:r>
            <w:r w:rsidR="004C3E34" w:rsidRPr="00A40B6E">
              <w:rPr>
                <w:rFonts w:asciiTheme="majorHAnsi" w:eastAsia="Times New Roman" w:hAnsiTheme="majorHAnsi" w:cstheme="majorHAnsi"/>
              </w:rPr>
              <w:t>.</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805BF"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r>
      <w:tr w:rsidR="006B154E" w:rsidRPr="00A40B6E" w14:paraId="780763EC" w14:textId="77777777" w:rsidTr="00036648">
        <w:tc>
          <w:tcPr>
            <w:tcW w:w="2825" w:type="dxa"/>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hideMark/>
          </w:tcPr>
          <w:p w14:paraId="165699AE" w14:textId="390B8517" w:rsidR="006B154E" w:rsidRPr="00A40B6E" w:rsidRDefault="001F7F3F" w:rsidP="006B15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rPr>
            </w:pPr>
            <w:r w:rsidRPr="00A40B6E">
              <w:rPr>
                <w:rFonts w:asciiTheme="majorHAnsi" w:eastAsia="Times New Roman" w:hAnsiTheme="majorHAnsi" w:cstheme="majorHAnsi"/>
              </w:rPr>
              <w:t>D</w:t>
            </w:r>
            <w:r w:rsidR="006B154E" w:rsidRPr="00A40B6E">
              <w:rPr>
                <w:rFonts w:asciiTheme="majorHAnsi" w:eastAsia="Times New Roman" w:hAnsiTheme="majorHAnsi" w:cstheme="majorHAnsi"/>
              </w:rPr>
              <w:t>engtose viešojo transporto stotelių vietose (paviljonuose)</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26402"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35241" w14:textId="63F457C3"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Labiau tikėtina, kad vieša</w:t>
            </w:r>
            <w:r w:rsidR="004C3E34" w:rsidRPr="00A40B6E">
              <w:rPr>
                <w:rFonts w:asciiTheme="majorHAnsi" w:eastAsia="Times New Roman" w:hAnsiTheme="majorHAnsi" w:cstheme="majorHAnsi"/>
              </w:rPr>
              <w:t>.</w:t>
            </w:r>
          </w:p>
        </w:tc>
      </w:tr>
      <w:tr w:rsidR="006B154E" w:rsidRPr="00A40B6E" w14:paraId="2812B778" w14:textId="77777777" w:rsidTr="00036648">
        <w:tc>
          <w:tcPr>
            <w:tcW w:w="2825" w:type="dxa"/>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hideMark/>
          </w:tcPr>
          <w:p w14:paraId="4E914C8B" w14:textId="43C63195" w:rsidR="006B154E" w:rsidRPr="00A40B6E" w:rsidRDefault="004C3E34" w:rsidP="006B15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rPr>
            </w:pPr>
            <w:r w:rsidRPr="00A40B6E">
              <w:rPr>
                <w:rFonts w:asciiTheme="majorHAnsi" w:eastAsia="Times New Roman" w:hAnsiTheme="majorHAnsi" w:cstheme="majorHAnsi"/>
              </w:rPr>
              <w:t>P</w:t>
            </w:r>
            <w:r w:rsidR="006B154E" w:rsidRPr="00A40B6E">
              <w:rPr>
                <w:rFonts w:asciiTheme="majorHAnsi" w:eastAsia="Times New Roman" w:hAnsiTheme="majorHAnsi" w:cstheme="majorHAnsi"/>
              </w:rPr>
              <w:t>aplūdimiuose</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25B6B"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9F96E" w14:textId="162C4FB1"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Labiau tikėtina, kad vieša, nors yra ir privačių paplūdimių</w:t>
            </w:r>
            <w:r w:rsidR="004C3E34" w:rsidRPr="00A40B6E">
              <w:rPr>
                <w:rFonts w:asciiTheme="majorHAnsi" w:eastAsia="Times New Roman" w:hAnsiTheme="majorHAnsi" w:cstheme="majorHAnsi"/>
              </w:rPr>
              <w:t>.</w:t>
            </w:r>
          </w:p>
        </w:tc>
      </w:tr>
      <w:tr w:rsidR="006B154E" w:rsidRPr="00A40B6E" w14:paraId="314E2DBB" w14:textId="77777777" w:rsidTr="00036648">
        <w:tc>
          <w:tcPr>
            <w:tcW w:w="2825" w:type="dxa"/>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hideMark/>
          </w:tcPr>
          <w:p w14:paraId="71154D82"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rPr>
            </w:pPr>
            <w:r w:rsidRPr="00A40B6E">
              <w:rPr>
                <w:rFonts w:asciiTheme="majorHAnsi" w:eastAsia="Times New Roman" w:hAnsiTheme="majorHAnsi" w:cstheme="majorHAnsi"/>
              </w:rPr>
              <w:t>Vaikų žaidimo aikštelėse</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B690A" w14:textId="6DC4C651" w:rsidR="006B154E" w:rsidRPr="00A40B6E" w:rsidRDefault="006B154E" w:rsidP="00B43C2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Labiau tikėtina, kad privat</w:t>
            </w:r>
            <w:r w:rsidR="00B43C2E" w:rsidRPr="00A40B6E">
              <w:rPr>
                <w:rFonts w:asciiTheme="majorHAnsi" w:eastAsia="Times New Roman" w:hAnsiTheme="majorHAnsi" w:cstheme="majorHAnsi"/>
              </w:rPr>
              <w:t>i (jei prie individualaus namo)</w:t>
            </w:r>
            <w:r w:rsidRPr="00A40B6E">
              <w:rPr>
                <w:rFonts w:asciiTheme="majorHAnsi" w:eastAsia="Times New Roman" w:hAnsiTheme="majorHAnsi" w:cstheme="majorHAnsi"/>
              </w:rPr>
              <w:t xml:space="preserve"> ar privati bendro</w:t>
            </w:r>
            <w:r w:rsidR="00B43C2E" w:rsidRPr="00A40B6E">
              <w:rPr>
                <w:rFonts w:asciiTheme="majorHAnsi" w:eastAsia="Times New Roman" w:hAnsiTheme="majorHAnsi" w:cstheme="majorHAnsi"/>
              </w:rPr>
              <w:t>ji</w:t>
            </w:r>
            <w:r w:rsidRPr="00A40B6E">
              <w:rPr>
                <w:rFonts w:asciiTheme="majorHAnsi" w:eastAsia="Times New Roman" w:hAnsiTheme="majorHAnsi" w:cstheme="majorHAnsi"/>
              </w:rPr>
              <w:t xml:space="preserve"> nuosavybė (jei prie daugiabučio). Nors yra ir viešų žaidimo aikštelių</w:t>
            </w:r>
            <w:r w:rsidR="004C3E34" w:rsidRPr="00A40B6E">
              <w:rPr>
                <w:rFonts w:asciiTheme="majorHAnsi" w:eastAsia="Times New Roman" w:hAnsiTheme="majorHAnsi" w:cstheme="majorHAnsi"/>
              </w:rPr>
              <w:t>.</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9855E"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r>
      <w:tr w:rsidR="006B154E" w:rsidRPr="00A40B6E" w14:paraId="0C04F26C" w14:textId="77777777" w:rsidTr="00036648">
        <w:tc>
          <w:tcPr>
            <w:tcW w:w="2825" w:type="dxa"/>
            <w:tcBorders>
              <w:top w:val="single" w:sz="8" w:space="0" w:color="000000"/>
              <w:left w:val="single" w:sz="8" w:space="0" w:color="000000"/>
              <w:bottom w:val="single" w:sz="8" w:space="0" w:color="000000"/>
              <w:right w:val="single" w:sz="8" w:space="0" w:color="000000"/>
            </w:tcBorders>
            <w:shd w:val="clear" w:color="auto" w:fill="9BBB59" w:themeFill="accent3"/>
            <w:tcMar>
              <w:top w:w="100" w:type="dxa"/>
              <w:left w:w="100" w:type="dxa"/>
              <w:bottom w:w="100" w:type="dxa"/>
              <w:right w:w="100" w:type="dxa"/>
            </w:tcMar>
            <w:hideMark/>
          </w:tcPr>
          <w:p w14:paraId="1F3D3CD2" w14:textId="15F74C25" w:rsidR="006B154E" w:rsidRPr="00A40B6E" w:rsidRDefault="001F7F3F" w:rsidP="006B154E">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color w:val="auto"/>
              </w:rPr>
            </w:pPr>
            <w:r w:rsidRPr="00A40B6E">
              <w:rPr>
                <w:rFonts w:asciiTheme="majorHAnsi" w:eastAsia="Times New Roman" w:hAnsiTheme="majorHAnsi" w:cstheme="majorHAnsi"/>
              </w:rPr>
              <w:t>V</w:t>
            </w:r>
            <w:r w:rsidR="006B154E" w:rsidRPr="00A40B6E">
              <w:rPr>
                <w:rFonts w:asciiTheme="majorHAnsi" w:eastAsia="Times New Roman" w:hAnsiTheme="majorHAnsi" w:cstheme="majorHAnsi"/>
              </w:rPr>
              <w:t>ietose, kuriose teikiamos viešojo maitinimo paslaugos, aptarnaujant pirkėjus lauko sąlygomis</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30E9F" w14:textId="0DD1783D" w:rsidR="006B154E" w:rsidRPr="00A40B6E" w:rsidRDefault="00B43C2E" w:rsidP="00B43C2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r w:rsidRPr="00A40B6E">
              <w:rPr>
                <w:rFonts w:asciiTheme="majorHAnsi" w:eastAsia="Times New Roman" w:hAnsiTheme="majorHAnsi" w:cstheme="majorHAnsi"/>
              </w:rPr>
              <w:t>Privati. N</w:t>
            </w:r>
            <w:r w:rsidR="006B154E" w:rsidRPr="00A40B6E">
              <w:rPr>
                <w:rFonts w:asciiTheme="majorHAnsi" w:eastAsia="Times New Roman" w:hAnsiTheme="majorHAnsi" w:cstheme="majorHAnsi"/>
              </w:rPr>
              <w:t>uosavybės teise ar nuomojama</w:t>
            </w:r>
            <w:r w:rsidR="004C3E34" w:rsidRPr="00A40B6E">
              <w:rPr>
                <w:rFonts w:asciiTheme="majorHAnsi" w:eastAsia="Times New Roman" w:hAnsiTheme="majorHAnsi" w:cstheme="majorHAnsi"/>
              </w:rPr>
              <w:t>.</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4A46F" w14:textId="77777777" w:rsidR="006B154E" w:rsidRPr="00A40B6E" w:rsidRDefault="006B154E" w:rsidP="006B154E">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rPr>
            </w:pPr>
          </w:p>
        </w:tc>
      </w:tr>
    </w:tbl>
    <w:p w14:paraId="49014FB1" w14:textId="5A295104" w:rsidR="006B154E" w:rsidRPr="00A40B6E" w:rsidRDefault="006B154E" w:rsidP="00471F6E">
      <w:pPr>
        <w:rPr>
          <w:rFonts w:asciiTheme="majorHAnsi" w:hAnsiTheme="majorHAnsi" w:cstheme="majorHAnsi"/>
        </w:rPr>
      </w:pPr>
    </w:p>
    <w:p w14:paraId="7541B6AB" w14:textId="174D3556" w:rsidR="004E0AB2" w:rsidRPr="00A40B6E" w:rsidRDefault="00B43C2E" w:rsidP="004E0AB2">
      <w:pPr>
        <w:pStyle w:val="NormalWeb"/>
        <w:spacing w:before="0" w:beforeAutospacing="0" w:after="160" w:afterAutospacing="0"/>
        <w:jc w:val="both"/>
        <w:rPr>
          <w:rFonts w:asciiTheme="majorHAnsi" w:hAnsiTheme="majorHAnsi" w:cstheme="majorHAnsi"/>
        </w:rPr>
      </w:pPr>
      <w:r w:rsidRPr="00A40B6E">
        <w:rPr>
          <w:rFonts w:asciiTheme="majorHAnsi" w:hAnsiTheme="majorHAnsi" w:cstheme="majorHAnsi"/>
          <w:b/>
          <w:bCs/>
          <w:color w:val="000000"/>
          <w:sz w:val="22"/>
          <w:szCs w:val="22"/>
        </w:rPr>
        <w:t>Dėl „</w:t>
      </w:r>
      <w:r w:rsidR="004E0AB2" w:rsidRPr="00A40B6E">
        <w:rPr>
          <w:rFonts w:asciiTheme="majorHAnsi" w:hAnsiTheme="majorHAnsi" w:cstheme="majorHAnsi"/>
          <w:b/>
          <w:bCs/>
          <w:color w:val="000000"/>
          <w:sz w:val="22"/>
          <w:szCs w:val="22"/>
        </w:rPr>
        <w:t>bendrojo naudojimo balkono</w:t>
      </w:r>
      <w:r w:rsidRPr="00A40B6E">
        <w:rPr>
          <w:rFonts w:asciiTheme="majorHAnsi" w:hAnsiTheme="majorHAnsi" w:cstheme="majorHAnsi"/>
          <w:b/>
          <w:bCs/>
          <w:color w:val="000000"/>
          <w:sz w:val="22"/>
          <w:szCs w:val="22"/>
        </w:rPr>
        <w:t>“</w:t>
      </w:r>
      <w:r w:rsidR="004E0AB2" w:rsidRPr="00A40B6E">
        <w:rPr>
          <w:rFonts w:asciiTheme="majorHAnsi" w:hAnsiTheme="majorHAnsi" w:cstheme="majorHAnsi"/>
          <w:b/>
          <w:bCs/>
          <w:color w:val="000000"/>
          <w:sz w:val="22"/>
          <w:szCs w:val="22"/>
        </w:rPr>
        <w:t xml:space="preserve"> sąvokos. </w:t>
      </w:r>
      <w:r w:rsidR="004E0AB2" w:rsidRPr="00A40B6E">
        <w:rPr>
          <w:rFonts w:asciiTheme="majorHAnsi" w:hAnsiTheme="majorHAnsi" w:cstheme="majorHAnsi"/>
          <w:color w:val="000000"/>
          <w:sz w:val="22"/>
          <w:szCs w:val="22"/>
        </w:rPr>
        <w:t>Atkreipiame dėmesį, kad</w:t>
      </w:r>
      <w:r w:rsidRPr="00A40B6E">
        <w:rPr>
          <w:rFonts w:asciiTheme="majorHAnsi" w:hAnsiTheme="majorHAnsi" w:cstheme="majorHAnsi"/>
          <w:color w:val="000000"/>
          <w:sz w:val="22"/>
          <w:szCs w:val="22"/>
        </w:rPr>
        <w:t>,</w:t>
      </w:r>
      <w:r w:rsidR="004E0AB2" w:rsidRPr="00A40B6E">
        <w:rPr>
          <w:rFonts w:asciiTheme="majorHAnsi" w:hAnsiTheme="majorHAnsi" w:cstheme="majorHAnsi"/>
          <w:color w:val="000000"/>
          <w:sz w:val="22"/>
          <w:szCs w:val="22"/>
        </w:rPr>
        <w:t xml:space="preserve"> pagal galiojantį Statybos techninį reikalavimą (STR 2.02.01:2004 </w:t>
      </w:r>
      <w:r w:rsidRPr="00A40B6E">
        <w:rPr>
          <w:rFonts w:asciiTheme="majorHAnsi" w:hAnsiTheme="majorHAnsi" w:cstheme="majorHAnsi"/>
          <w:color w:val="000000"/>
          <w:sz w:val="22"/>
          <w:szCs w:val="22"/>
        </w:rPr>
        <w:t>„</w:t>
      </w:r>
      <w:r w:rsidR="004E0AB2" w:rsidRPr="00A40B6E">
        <w:rPr>
          <w:rFonts w:asciiTheme="majorHAnsi" w:hAnsiTheme="majorHAnsi" w:cstheme="majorHAnsi"/>
          <w:color w:val="000000"/>
          <w:sz w:val="22"/>
          <w:szCs w:val="22"/>
        </w:rPr>
        <w:t>Gyvenamieji pastatai</w:t>
      </w:r>
      <w:r w:rsidRPr="00A40B6E">
        <w:rPr>
          <w:rFonts w:asciiTheme="majorHAnsi" w:hAnsiTheme="majorHAnsi" w:cstheme="majorHAnsi"/>
          <w:color w:val="000000"/>
          <w:sz w:val="22"/>
          <w:szCs w:val="22"/>
        </w:rPr>
        <w:t>“), sąvokos „</w:t>
      </w:r>
      <w:r w:rsidR="004E0AB2" w:rsidRPr="00A40B6E">
        <w:rPr>
          <w:rFonts w:asciiTheme="majorHAnsi" w:hAnsiTheme="majorHAnsi" w:cstheme="majorHAnsi"/>
          <w:color w:val="000000"/>
          <w:sz w:val="22"/>
          <w:szCs w:val="22"/>
        </w:rPr>
        <w:t>daugiabučių n</w:t>
      </w:r>
      <w:r w:rsidRPr="00A40B6E">
        <w:rPr>
          <w:rFonts w:asciiTheme="majorHAnsi" w:hAnsiTheme="majorHAnsi" w:cstheme="majorHAnsi"/>
          <w:color w:val="000000"/>
          <w:sz w:val="22"/>
          <w:szCs w:val="22"/>
        </w:rPr>
        <w:t>amų bendrojo naudojimo balkonas“ nėra, yra tik „</w:t>
      </w:r>
      <w:r w:rsidR="004E0AB2" w:rsidRPr="00A40B6E">
        <w:rPr>
          <w:rFonts w:asciiTheme="majorHAnsi" w:hAnsiTheme="majorHAnsi" w:cstheme="majorHAnsi"/>
          <w:color w:val="000000"/>
          <w:sz w:val="22"/>
          <w:szCs w:val="22"/>
        </w:rPr>
        <w:t>balkonas</w:t>
      </w:r>
      <w:r w:rsidRPr="00A40B6E">
        <w:rPr>
          <w:rFonts w:asciiTheme="majorHAnsi" w:hAnsiTheme="majorHAnsi" w:cstheme="majorHAnsi"/>
          <w:color w:val="000000"/>
          <w:sz w:val="22"/>
          <w:szCs w:val="22"/>
        </w:rPr>
        <w:t>“, kuris apibrėžiamas kaip „</w:t>
      </w:r>
      <w:r w:rsidR="004E0AB2" w:rsidRPr="00A40B6E">
        <w:rPr>
          <w:rFonts w:asciiTheme="majorHAnsi" w:hAnsiTheme="majorHAnsi" w:cstheme="majorHAnsi"/>
          <w:i/>
          <w:iCs/>
          <w:color w:val="000000"/>
          <w:sz w:val="22"/>
          <w:szCs w:val="22"/>
        </w:rPr>
        <w:t>pastato dalis, atvira išsikišusi aikštelė išorinėje pastato sienoje su aptvaru žmonių saugai užtikrinti ir turinti duris į vidaus patalpas; gali būti palaikoma gembės ar kolonų; balkonas gali būti uždaras, iš lauko pusės įstiklintas naudojant lengvas šaltas konstrukcijas</w:t>
      </w:r>
      <w:r w:rsidRPr="00A40B6E">
        <w:rPr>
          <w:rFonts w:asciiTheme="majorHAnsi" w:hAnsiTheme="majorHAnsi" w:cstheme="majorHAnsi"/>
          <w:i/>
          <w:iCs/>
          <w:color w:val="000000"/>
          <w:sz w:val="22"/>
          <w:szCs w:val="22"/>
        </w:rPr>
        <w:t>“</w:t>
      </w:r>
      <w:r w:rsidR="004E0AB2" w:rsidRPr="00A40B6E">
        <w:rPr>
          <w:rFonts w:asciiTheme="majorHAnsi" w:hAnsiTheme="majorHAnsi" w:cstheme="majorHAnsi"/>
          <w:color w:val="000000"/>
          <w:sz w:val="22"/>
          <w:szCs w:val="22"/>
        </w:rPr>
        <w:t xml:space="preserve">. </w:t>
      </w:r>
    </w:p>
    <w:p w14:paraId="7509B40E" w14:textId="77777777" w:rsidR="004E0AB2" w:rsidRPr="00A40B6E" w:rsidRDefault="004E0AB2" w:rsidP="004E0AB2">
      <w:pPr>
        <w:pStyle w:val="NormalWeb"/>
        <w:spacing w:before="0" w:beforeAutospacing="0" w:after="160" w:afterAutospacing="0"/>
        <w:jc w:val="both"/>
        <w:rPr>
          <w:rFonts w:asciiTheme="majorHAnsi" w:hAnsiTheme="majorHAnsi" w:cstheme="majorHAnsi"/>
        </w:rPr>
      </w:pPr>
      <w:r w:rsidRPr="00A40B6E">
        <w:rPr>
          <w:rFonts w:asciiTheme="majorHAnsi" w:hAnsiTheme="majorHAnsi" w:cstheme="majorHAnsi"/>
          <w:color w:val="000000"/>
          <w:sz w:val="22"/>
          <w:szCs w:val="22"/>
        </w:rPr>
        <w:t xml:space="preserve">Neaiškių ir nevienareikšmiškų apibrėžimų naudojimas teisės akte neleidžia tiksliai įvertinti siūlomo draudimo, gali sudaryti klaidingą įspūdį apie tai, kas yra siūloma teisės aktu. </w:t>
      </w:r>
    </w:p>
    <w:p w14:paraId="104D79B2" w14:textId="657DAFBB" w:rsidR="004E0AB2" w:rsidRPr="00A40B6E" w:rsidRDefault="00B43C2E" w:rsidP="004E0AB2">
      <w:pPr>
        <w:pStyle w:val="NormalWeb"/>
        <w:spacing w:before="0" w:beforeAutospacing="0" w:after="160" w:afterAutospacing="0"/>
        <w:jc w:val="both"/>
        <w:rPr>
          <w:rFonts w:asciiTheme="majorHAnsi" w:hAnsiTheme="majorHAnsi" w:cstheme="majorHAnsi"/>
          <w:sz w:val="22"/>
          <w:szCs w:val="22"/>
        </w:rPr>
      </w:pPr>
      <w:r w:rsidRPr="00A40B6E">
        <w:rPr>
          <w:rFonts w:asciiTheme="majorHAnsi" w:hAnsiTheme="majorHAnsi" w:cstheme="majorHAnsi"/>
          <w:color w:val="000000"/>
          <w:sz w:val="22"/>
          <w:szCs w:val="22"/>
        </w:rPr>
        <w:lastRenderedPageBreak/>
        <w:t>Jei Projekte naudojamą sąvoką „</w:t>
      </w:r>
      <w:r w:rsidR="004E0AB2" w:rsidRPr="00A40B6E">
        <w:rPr>
          <w:rFonts w:asciiTheme="majorHAnsi" w:hAnsiTheme="majorHAnsi" w:cstheme="majorHAnsi"/>
          <w:color w:val="000000"/>
          <w:sz w:val="22"/>
          <w:szCs w:val="22"/>
        </w:rPr>
        <w:t>daugiabučių namų bendrojo naudojimo balkonuose</w:t>
      </w:r>
      <w:r w:rsidRPr="00A40B6E">
        <w:rPr>
          <w:rFonts w:asciiTheme="majorHAnsi" w:hAnsiTheme="majorHAnsi" w:cstheme="majorHAnsi"/>
          <w:color w:val="000000"/>
          <w:sz w:val="22"/>
          <w:szCs w:val="22"/>
        </w:rPr>
        <w:t>“</w:t>
      </w:r>
      <w:r w:rsidR="004E0AB2" w:rsidRPr="00A40B6E">
        <w:rPr>
          <w:rFonts w:asciiTheme="majorHAnsi" w:hAnsiTheme="majorHAnsi" w:cstheme="majorHAnsi"/>
          <w:color w:val="000000"/>
          <w:sz w:val="22"/>
          <w:szCs w:val="22"/>
        </w:rPr>
        <w:t xml:space="preserve"> traktuoti kaip </w:t>
      </w:r>
      <w:r w:rsidRPr="00A40B6E">
        <w:rPr>
          <w:rFonts w:asciiTheme="majorHAnsi" w:hAnsiTheme="majorHAnsi" w:cstheme="majorHAnsi"/>
          <w:color w:val="000000"/>
          <w:sz w:val="22"/>
          <w:szCs w:val="22"/>
        </w:rPr>
        <w:t>„balkoną“</w:t>
      </w:r>
      <w:r w:rsidR="004E0AB2" w:rsidRPr="00A40B6E">
        <w:rPr>
          <w:rFonts w:asciiTheme="majorHAnsi" w:hAnsiTheme="majorHAnsi" w:cstheme="majorHAnsi"/>
          <w:color w:val="000000"/>
          <w:sz w:val="22"/>
          <w:szCs w:val="22"/>
        </w:rPr>
        <w:t xml:space="preserve"> apibrėžtą STR </w:t>
      </w:r>
      <w:r w:rsidRPr="00A40B6E">
        <w:rPr>
          <w:rFonts w:asciiTheme="majorHAnsi" w:hAnsiTheme="majorHAnsi" w:cstheme="majorHAnsi"/>
          <w:color w:val="000000"/>
          <w:sz w:val="22"/>
          <w:szCs w:val="22"/>
        </w:rPr>
        <w:t>„</w:t>
      </w:r>
      <w:r w:rsidR="004E0AB2" w:rsidRPr="00A40B6E">
        <w:rPr>
          <w:rFonts w:asciiTheme="majorHAnsi" w:hAnsiTheme="majorHAnsi" w:cstheme="majorHAnsi"/>
          <w:color w:val="000000"/>
          <w:sz w:val="22"/>
          <w:szCs w:val="22"/>
        </w:rPr>
        <w:t>Gyvenamieji pastatai</w:t>
      </w:r>
      <w:r w:rsidRPr="00A40B6E">
        <w:rPr>
          <w:rFonts w:asciiTheme="majorHAnsi" w:hAnsiTheme="majorHAnsi" w:cstheme="majorHAnsi"/>
          <w:color w:val="000000"/>
          <w:sz w:val="22"/>
          <w:szCs w:val="22"/>
        </w:rPr>
        <w:t>“</w:t>
      </w:r>
      <w:r w:rsidR="004E0AB2" w:rsidRPr="00A40B6E">
        <w:rPr>
          <w:rFonts w:asciiTheme="majorHAnsi" w:hAnsiTheme="majorHAnsi" w:cstheme="majorHAnsi"/>
          <w:color w:val="000000"/>
          <w:sz w:val="22"/>
          <w:szCs w:val="22"/>
        </w:rPr>
        <w:t>, atkreipiame dėmesį, kad rūkyti būtų draudžiama net ir tuose balkonuose, kurie yra visiškai įstiklinti.</w:t>
      </w:r>
    </w:p>
    <w:p w14:paraId="728EE064" w14:textId="77777777" w:rsidR="004E0AB2" w:rsidRPr="00A40B6E" w:rsidRDefault="004E0AB2" w:rsidP="004E0AB2">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heme="majorHAnsi"/>
          <w:color w:val="auto"/>
          <w:sz w:val="24"/>
          <w:szCs w:val="24"/>
        </w:rPr>
      </w:pPr>
      <w:r w:rsidRPr="00A40B6E">
        <w:rPr>
          <w:rFonts w:asciiTheme="majorHAnsi" w:eastAsia="Times New Roman" w:hAnsiTheme="majorHAnsi" w:cstheme="majorHAnsi"/>
        </w:rPr>
        <w:t>Nepritariame naujiems draudimams vartoti tabako gaminius privačiose vietose, nes:</w:t>
      </w:r>
    </w:p>
    <w:p w14:paraId="6E43417B" w14:textId="251F297F" w:rsidR="004E0AB2" w:rsidRPr="00A40B6E" w:rsidRDefault="004E0AB2" w:rsidP="004E0AB2">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ind w:left="1069"/>
        <w:textAlignment w:val="baseline"/>
        <w:rPr>
          <w:rFonts w:asciiTheme="majorHAnsi" w:eastAsia="Times New Roman" w:hAnsiTheme="majorHAnsi" w:cstheme="majorHAnsi"/>
          <w:b/>
          <w:bCs/>
        </w:rPr>
      </w:pPr>
      <w:r w:rsidRPr="00A40B6E">
        <w:rPr>
          <w:rFonts w:asciiTheme="majorHAnsi" w:eastAsia="Times New Roman" w:hAnsiTheme="majorHAnsi" w:cstheme="majorHAnsi"/>
          <w:b/>
          <w:bCs/>
        </w:rPr>
        <w:t xml:space="preserve">Daugiabučių bendrijos pačios gali nustatyti, kuriose teritorijose gali būti rūkoma, </w:t>
      </w:r>
      <w:r w:rsidR="00B43C2E" w:rsidRPr="00A40B6E">
        <w:rPr>
          <w:rFonts w:asciiTheme="majorHAnsi" w:eastAsia="Times New Roman" w:hAnsiTheme="majorHAnsi" w:cstheme="majorHAnsi"/>
          <w:b/>
          <w:bCs/>
        </w:rPr>
        <w:t xml:space="preserve">o </w:t>
      </w:r>
      <w:r w:rsidRPr="00A40B6E">
        <w:rPr>
          <w:rFonts w:asciiTheme="majorHAnsi" w:eastAsia="Times New Roman" w:hAnsiTheme="majorHAnsi" w:cstheme="majorHAnsi"/>
          <w:b/>
          <w:bCs/>
        </w:rPr>
        <w:t xml:space="preserve">kuriose  – ne. </w:t>
      </w:r>
      <w:r w:rsidRPr="00A40B6E">
        <w:rPr>
          <w:rFonts w:asciiTheme="majorHAnsi" w:eastAsia="Times New Roman" w:hAnsiTheme="majorHAnsi" w:cstheme="majorHAnsi"/>
        </w:rPr>
        <w:t xml:space="preserve">Reikia atkreipti dėmesį, kad tokiu Projektu valdžia nepagrįstai kišasi į bendruomenių gyvenimą. Pačios daugiabučių namų bendrijos gali nuspręsti, ar jų name ir aplinkinėje teritorijoje galima rūkyti. Nėra priežasties, kodėl valstybė turėtų visoms bendruomenėms taikyti vienodą standartą. </w:t>
      </w:r>
      <w:r w:rsidR="00B43C2E" w:rsidRPr="00A40B6E">
        <w:rPr>
          <w:rFonts w:asciiTheme="majorHAnsi" w:eastAsia="Times New Roman" w:hAnsiTheme="majorHAnsi" w:cstheme="majorHAnsi"/>
        </w:rPr>
        <w:t>B</w:t>
      </w:r>
      <w:r w:rsidRPr="00A40B6E">
        <w:rPr>
          <w:rFonts w:asciiTheme="majorHAnsi" w:eastAsia="Times New Roman" w:hAnsiTheme="majorHAnsi" w:cstheme="majorHAnsi"/>
        </w:rPr>
        <w:t>endrijos yra pajėgios pačios nustatyti tokius standartus ir užtikrinti jų laikymąsi. Tokio apribojimo įvedimas pažeistų subsidiarumo principą.</w:t>
      </w:r>
    </w:p>
    <w:p w14:paraId="4BD1AAA4" w14:textId="77777777" w:rsidR="00B43C2E" w:rsidRPr="00A40B6E" w:rsidRDefault="004E0AB2" w:rsidP="00FE3EBA">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ind w:left="1069"/>
        <w:textAlignment w:val="baseline"/>
        <w:rPr>
          <w:rFonts w:asciiTheme="majorHAnsi" w:eastAsia="Times New Roman" w:hAnsiTheme="majorHAnsi" w:cstheme="majorHAnsi"/>
        </w:rPr>
      </w:pPr>
      <w:r w:rsidRPr="00A40B6E">
        <w:rPr>
          <w:rFonts w:asciiTheme="majorHAnsi" w:eastAsia="Times New Roman" w:hAnsiTheme="majorHAnsi" w:cstheme="majorHAnsi"/>
          <w:b/>
          <w:bCs/>
        </w:rPr>
        <w:t>Viešojo maitinimo įstaigos, tolimojo susisiekimo traukinių, orlaivių bendrovės gali pačios nustatyti kur gali būti rūkoma, o kur  – ne.</w:t>
      </w:r>
      <w:r w:rsidRPr="00A40B6E">
        <w:rPr>
          <w:rFonts w:asciiTheme="majorHAnsi" w:eastAsia="Times New Roman" w:hAnsiTheme="majorHAnsi" w:cstheme="majorHAnsi"/>
        </w:rPr>
        <w:t xml:space="preserve"> Reikia atkreipti dėmesį, kad tokiu Projektu valdžia nepagrįstai kišasi į privačios nuosavybės valdymo klausimus. Nėra priežasties, kodėl valstybė turėtų visoms viešojo maitinimo įstaigoms, orlaivių ir tolimųjų susisiekimo traukinių kompanijoms taikyti vienodą standartą, nes verslas jau dabar gali skaidyti maitinimo zonas viešojo maitinimo įstaigose į rūkančiųjų ir nerūkančiųjų, todėl tokio apribojimo įvedimas pažeistų subsidiarumo principą.</w:t>
      </w:r>
    </w:p>
    <w:p w14:paraId="3FDDA29E" w14:textId="31E47631" w:rsidR="006B154E" w:rsidRPr="00A40B6E" w:rsidRDefault="004E0AB2" w:rsidP="00FE3EBA">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ind w:left="1069"/>
        <w:textAlignment w:val="baseline"/>
        <w:rPr>
          <w:rFonts w:asciiTheme="majorHAnsi" w:eastAsia="Times New Roman" w:hAnsiTheme="majorHAnsi" w:cstheme="majorHAnsi"/>
        </w:rPr>
      </w:pPr>
      <w:r w:rsidRPr="00A40B6E">
        <w:rPr>
          <w:rFonts w:asciiTheme="majorHAnsi" w:eastAsia="Times New Roman" w:hAnsiTheme="majorHAnsi" w:cstheme="majorHAnsi"/>
          <w:b/>
          <w:bCs/>
        </w:rPr>
        <w:t xml:space="preserve">Sudėtingas įstatymo vykdymo užtikrinimas. </w:t>
      </w:r>
      <w:r w:rsidRPr="00A40B6E">
        <w:rPr>
          <w:rFonts w:asciiTheme="majorHAnsi" w:eastAsia="Times New Roman" w:hAnsiTheme="majorHAnsi" w:cstheme="majorHAnsi"/>
        </w:rPr>
        <w:t>Priėmus šį įstatymo projektą bus susiduriama su sunkumais fiksuojant ir nustatant pažeidėjus. Tuo pačiu</w:t>
      </w:r>
      <w:r w:rsidR="00B43C2E" w:rsidRPr="00A40B6E">
        <w:rPr>
          <w:rFonts w:asciiTheme="majorHAnsi" w:eastAsia="Times New Roman" w:hAnsiTheme="majorHAnsi" w:cstheme="majorHAnsi"/>
        </w:rPr>
        <w:t>, policijos patruliai bus apkrauti</w:t>
      </w:r>
      <w:r w:rsidRPr="00A40B6E">
        <w:rPr>
          <w:rFonts w:asciiTheme="majorHAnsi" w:eastAsia="Times New Roman" w:hAnsiTheme="majorHAnsi" w:cstheme="majorHAnsi"/>
        </w:rPr>
        <w:t xml:space="preserve"> pap</w:t>
      </w:r>
      <w:r w:rsidR="00B43C2E" w:rsidRPr="00A40B6E">
        <w:rPr>
          <w:rFonts w:asciiTheme="majorHAnsi" w:eastAsia="Times New Roman" w:hAnsiTheme="majorHAnsi" w:cstheme="majorHAnsi"/>
        </w:rPr>
        <w:t>ildomu</w:t>
      </w:r>
      <w:r w:rsidRPr="00A40B6E">
        <w:rPr>
          <w:rFonts w:asciiTheme="majorHAnsi" w:eastAsia="Times New Roman" w:hAnsiTheme="majorHAnsi" w:cstheme="majorHAnsi"/>
        </w:rPr>
        <w:t xml:space="preserve"> smulkių pažeidimų registravimu.</w:t>
      </w:r>
    </w:p>
    <w:p w14:paraId="26E9B78D" w14:textId="3A1DFEA0" w:rsidR="00AA05BE" w:rsidRPr="00A40B6E" w:rsidRDefault="00AA05BE" w:rsidP="004E0AB2">
      <w:pPr>
        <w:rPr>
          <w:rFonts w:asciiTheme="majorHAnsi" w:hAnsiTheme="majorHAnsi" w:cstheme="majorHAnsi"/>
        </w:rPr>
      </w:pPr>
    </w:p>
    <w:p w14:paraId="27F4C8AB" w14:textId="57912363" w:rsidR="005A5426" w:rsidRPr="00A40B6E" w:rsidRDefault="005A5426" w:rsidP="005A5426">
      <w:pPr>
        <w:rPr>
          <w:rFonts w:asciiTheme="majorHAnsi" w:hAnsiTheme="majorHAnsi" w:cstheme="majorHAnsi"/>
        </w:rPr>
      </w:pPr>
      <w:r w:rsidRPr="00A40B6E">
        <w:rPr>
          <w:rFonts w:asciiTheme="majorHAnsi" w:hAnsiTheme="majorHAnsi" w:cstheme="majorHAnsi"/>
          <w:b/>
        </w:rPr>
        <w:t>IŠVADOS IR PASIŪLYMAI</w:t>
      </w:r>
    </w:p>
    <w:p w14:paraId="78EBD00B" w14:textId="5E08FAE0" w:rsidR="00247E88" w:rsidRPr="00A40B6E" w:rsidRDefault="00B43C2E" w:rsidP="00247E88">
      <w:pPr>
        <w:rPr>
          <w:rFonts w:asciiTheme="majorHAnsi" w:hAnsiTheme="majorHAnsi" w:cstheme="majorHAnsi"/>
        </w:rPr>
      </w:pPr>
      <w:r w:rsidRPr="00A40B6E">
        <w:rPr>
          <w:rFonts w:asciiTheme="majorHAnsi" w:hAnsiTheme="majorHAnsi" w:cstheme="majorHAnsi"/>
        </w:rPr>
        <w:t>LLRI n</w:t>
      </w:r>
      <w:r w:rsidR="005A5426" w:rsidRPr="00A40B6E">
        <w:rPr>
          <w:rFonts w:asciiTheme="majorHAnsi" w:hAnsiTheme="majorHAnsi" w:cstheme="majorHAnsi"/>
        </w:rPr>
        <w:t>epritaria bendrinės pakuotės įvedimui</w:t>
      </w:r>
      <w:r w:rsidRPr="00A40B6E">
        <w:rPr>
          <w:rFonts w:asciiTheme="majorHAnsi" w:hAnsiTheme="majorHAnsi" w:cstheme="majorHAnsi"/>
        </w:rPr>
        <w:t>.</w:t>
      </w:r>
    </w:p>
    <w:p w14:paraId="24C21423" w14:textId="1DFF7DF8" w:rsidR="000149DE" w:rsidRPr="00A40B6E" w:rsidRDefault="00B43C2E" w:rsidP="00247E88">
      <w:pPr>
        <w:pStyle w:val="ListParagraph"/>
        <w:numPr>
          <w:ilvl w:val="0"/>
          <w:numId w:val="38"/>
        </w:numPr>
        <w:rPr>
          <w:rFonts w:asciiTheme="majorHAnsi" w:eastAsia="Calibri" w:hAnsiTheme="majorHAnsi" w:cstheme="majorHAnsi"/>
        </w:rPr>
      </w:pPr>
      <w:r w:rsidRPr="00A40B6E">
        <w:rPr>
          <w:rFonts w:asciiTheme="majorHAnsi" w:eastAsia="Times New Roman" w:hAnsiTheme="majorHAnsi" w:cstheme="majorHAnsi"/>
          <w:bCs/>
        </w:rPr>
        <w:t>Tai a</w:t>
      </w:r>
      <w:r w:rsidR="000149DE" w:rsidRPr="00A40B6E">
        <w:rPr>
          <w:rFonts w:asciiTheme="majorHAnsi" w:eastAsia="Times New Roman" w:hAnsiTheme="majorHAnsi" w:cstheme="majorHAnsi"/>
          <w:bCs/>
        </w:rPr>
        <w:t>psunkint</w:t>
      </w:r>
      <w:r w:rsidRPr="00A40B6E">
        <w:rPr>
          <w:rFonts w:asciiTheme="majorHAnsi" w:eastAsia="Times New Roman" w:hAnsiTheme="majorHAnsi" w:cstheme="majorHAnsi"/>
          <w:bCs/>
        </w:rPr>
        <w:t>ų</w:t>
      </w:r>
      <w:r w:rsidR="000149DE" w:rsidRPr="00A40B6E">
        <w:rPr>
          <w:rFonts w:asciiTheme="majorHAnsi" w:eastAsia="Times New Roman" w:hAnsiTheme="majorHAnsi" w:cstheme="majorHAnsi"/>
          <w:bCs/>
        </w:rPr>
        <w:t xml:space="preserve"> vartotojo pasirinkimą. </w:t>
      </w:r>
    </w:p>
    <w:p w14:paraId="448B3A9D" w14:textId="308CA07C" w:rsidR="000149DE" w:rsidRPr="00A40B6E" w:rsidRDefault="000149DE" w:rsidP="00247E88">
      <w:pPr>
        <w:pStyle w:val="ListParagraph"/>
        <w:numPr>
          <w:ilvl w:val="0"/>
          <w:numId w:val="38"/>
        </w:numPr>
        <w:rPr>
          <w:rFonts w:asciiTheme="majorHAnsi" w:hAnsiTheme="majorHAnsi" w:cstheme="majorHAnsi"/>
        </w:rPr>
      </w:pPr>
      <w:r w:rsidRPr="00A40B6E">
        <w:rPr>
          <w:rFonts w:asciiTheme="majorHAnsi" w:eastAsia="Times New Roman" w:hAnsiTheme="majorHAnsi" w:cstheme="majorHAnsi"/>
          <w:bCs/>
          <w:noProof w:val="0"/>
          <w:color w:val="000000"/>
          <w:lang w:eastAsia="lt-LT"/>
        </w:rPr>
        <w:t>Sukurtų precedentą uždrausti ir kitų prekių pakuočių dizainą ar logotipus.</w:t>
      </w:r>
      <w:r w:rsidRPr="00A40B6E">
        <w:rPr>
          <w:rFonts w:asciiTheme="majorHAnsi" w:eastAsia="Times New Roman" w:hAnsiTheme="majorHAnsi" w:cstheme="majorHAnsi"/>
          <w:noProof w:val="0"/>
          <w:color w:val="000000"/>
          <w:lang w:eastAsia="lt-LT"/>
        </w:rPr>
        <w:t xml:space="preserve"> </w:t>
      </w:r>
    </w:p>
    <w:p w14:paraId="2C545FD8" w14:textId="13A0B66C" w:rsidR="000149DE" w:rsidRPr="00A40B6E" w:rsidRDefault="000149DE" w:rsidP="00247E88">
      <w:pPr>
        <w:pStyle w:val="ListParagraph"/>
        <w:numPr>
          <w:ilvl w:val="0"/>
          <w:numId w:val="38"/>
        </w:numPr>
        <w:rPr>
          <w:rFonts w:asciiTheme="majorHAnsi" w:hAnsiTheme="majorHAnsi" w:cstheme="majorHAnsi"/>
        </w:rPr>
      </w:pPr>
      <w:r w:rsidRPr="00A40B6E">
        <w:rPr>
          <w:rFonts w:asciiTheme="majorHAnsi" w:hAnsiTheme="majorHAnsi" w:cstheme="majorHAnsi"/>
          <w:bCs/>
          <w:color w:val="000000"/>
        </w:rPr>
        <w:t>Pažeistų teisę į intelektinę nuosavybę ir pagarbos asmens teisėms ir laisvės principą</w:t>
      </w:r>
      <w:r w:rsidRPr="00A40B6E">
        <w:rPr>
          <w:rFonts w:asciiTheme="majorHAnsi" w:hAnsiTheme="majorHAnsi" w:cstheme="majorHAnsi"/>
          <w:color w:val="000000"/>
        </w:rPr>
        <w:t>.</w:t>
      </w:r>
      <w:r w:rsidRPr="00A40B6E">
        <w:rPr>
          <w:rFonts w:asciiTheme="majorHAnsi" w:hAnsiTheme="majorHAnsi" w:cstheme="majorHAnsi"/>
          <w:bCs/>
          <w:color w:val="000000"/>
        </w:rPr>
        <w:t xml:space="preserve"> </w:t>
      </w:r>
    </w:p>
    <w:p w14:paraId="3BEDADE5" w14:textId="63173E9C" w:rsidR="000149DE" w:rsidRPr="00A40B6E" w:rsidRDefault="000149DE" w:rsidP="00247E88">
      <w:pPr>
        <w:pStyle w:val="ListParagraph"/>
        <w:numPr>
          <w:ilvl w:val="0"/>
          <w:numId w:val="38"/>
        </w:numPr>
        <w:rPr>
          <w:rFonts w:asciiTheme="majorHAnsi" w:hAnsiTheme="majorHAnsi" w:cstheme="majorHAnsi"/>
        </w:rPr>
      </w:pPr>
      <w:r w:rsidRPr="00A40B6E">
        <w:rPr>
          <w:rFonts w:asciiTheme="majorHAnsi" w:hAnsiTheme="majorHAnsi" w:cstheme="majorHAnsi"/>
          <w:bCs/>
          <w:color w:val="000000"/>
        </w:rPr>
        <w:t>Draudimas yra neproporcingas, nepagrįstas ir neįrodytas.</w:t>
      </w:r>
    </w:p>
    <w:p w14:paraId="28350E86" w14:textId="4696670F" w:rsidR="000149DE" w:rsidRPr="00A40B6E" w:rsidRDefault="007568F2" w:rsidP="00247E88">
      <w:pPr>
        <w:pStyle w:val="ListParagraph"/>
        <w:numPr>
          <w:ilvl w:val="1"/>
          <w:numId w:val="38"/>
        </w:numPr>
        <w:rPr>
          <w:rFonts w:asciiTheme="majorHAnsi" w:hAnsiTheme="majorHAnsi" w:cstheme="majorHAnsi"/>
        </w:rPr>
      </w:pPr>
      <w:r w:rsidRPr="00A40B6E">
        <w:rPr>
          <w:rFonts w:asciiTheme="majorHAnsi" w:hAnsiTheme="majorHAnsi" w:cstheme="majorHAnsi"/>
          <w:bCs/>
          <w:color w:val="000000"/>
        </w:rPr>
        <w:t xml:space="preserve">Siūlomą draudimą taiko tik keletas pasaulio </w:t>
      </w:r>
      <w:r w:rsidR="00D466FA" w:rsidRPr="00A40B6E">
        <w:rPr>
          <w:rFonts w:asciiTheme="majorHAnsi" w:hAnsiTheme="majorHAnsi" w:cstheme="majorHAnsi"/>
          <w:bCs/>
          <w:color w:val="000000"/>
        </w:rPr>
        <w:t>šalių</w:t>
      </w:r>
      <w:r w:rsidR="000149DE" w:rsidRPr="00A40B6E">
        <w:rPr>
          <w:rFonts w:asciiTheme="majorHAnsi" w:hAnsiTheme="majorHAnsi" w:cstheme="majorHAnsi"/>
          <w:bCs/>
          <w:color w:val="000000"/>
        </w:rPr>
        <w:t>.</w:t>
      </w:r>
    </w:p>
    <w:p w14:paraId="167AE67A" w14:textId="363656E8" w:rsidR="000149DE" w:rsidRPr="00A40B6E" w:rsidRDefault="000149DE" w:rsidP="00247E88">
      <w:pPr>
        <w:pStyle w:val="ListParagraph"/>
        <w:numPr>
          <w:ilvl w:val="1"/>
          <w:numId w:val="38"/>
        </w:numPr>
        <w:rPr>
          <w:rFonts w:asciiTheme="majorHAnsi" w:hAnsiTheme="majorHAnsi" w:cstheme="majorHAnsi"/>
        </w:rPr>
      </w:pPr>
      <w:r w:rsidRPr="00A40B6E">
        <w:rPr>
          <w:rFonts w:asciiTheme="majorHAnsi" w:hAnsiTheme="majorHAnsi" w:cstheme="majorHAnsi"/>
          <w:bCs/>
        </w:rPr>
        <w:t xml:space="preserve">Lietuvoje </w:t>
      </w:r>
      <w:r w:rsidR="00247E88" w:rsidRPr="00A40B6E">
        <w:rPr>
          <w:rFonts w:asciiTheme="majorHAnsi" w:hAnsiTheme="majorHAnsi" w:cstheme="majorHAnsi"/>
          <w:bCs/>
        </w:rPr>
        <w:t>–</w:t>
      </w:r>
      <w:r w:rsidRPr="00A40B6E">
        <w:rPr>
          <w:rFonts w:asciiTheme="majorHAnsi" w:hAnsiTheme="majorHAnsi" w:cstheme="majorHAnsi"/>
          <w:bCs/>
        </w:rPr>
        <w:t xml:space="preserve"> jau</w:t>
      </w:r>
      <w:r w:rsidR="00B43C2E" w:rsidRPr="00A40B6E">
        <w:rPr>
          <w:rFonts w:asciiTheme="majorHAnsi" w:hAnsiTheme="majorHAnsi" w:cstheme="majorHAnsi"/>
          <w:bCs/>
        </w:rPr>
        <w:t xml:space="preserve"> </w:t>
      </w:r>
      <w:r w:rsidRPr="00A40B6E">
        <w:rPr>
          <w:rFonts w:asciiTheme="majorHAnsi" w:hAnsiTheme="majorHAnsi" w:cstheme="majorHAnsi"/>
          <w:bCs/>
        </w:rPr>
        <w:t>daug draudimų</w:t>
      </w:r>
      <w:r w:rsidR="00B43C2E" w:rsidRPr="00A40B6E">
        <w:rPr>
          <w:rFonts w:asciiTheme="majorHAnsi" w:hAnsiTheme="majorHAnsi" w:cstheme="majorHAnsi"/>
          <w:bCs/>
        </w:rPr>
        <w:t xml:space="preserve"> tabako gaminiams</w:t>
      </w:r>
      <w:r w:rsidRPr="00A40B6E">
        <w:rPr>
          <w:rFonts w:asciiTheme="majorHAnsi" w:hAnsiTheme="majorHAnsi" w:cstheme="majorHAnsi"/>
          <w:bCs/>
        </w:rPr>
        <w:t xml:space="preserve">. </w:t>
      </w:r>
    </w:p>
    <w:p w14:paraId="245EB927" w14:textId="50692D2B" w:rsidR="000149DE" w:rsidRPr="00A40B6E" w:rsidRDefault="00B43C2E" w:rsidP="00247E88">
      <w:pPr>
        <w:pStyle w:val="ListParagraph"/>
        <w:numPr>
          <w:ilvl w:val="1"/>
          <w:numId w:val="38"/>
        </w:numPr>
        <w:rPr>
          <w:rFonts w:asciiTheme="majorHAnsi" w:hAnsiTheme="majorHAnsi" w:cstheme="majorHAnsi"/>
        </w:rPr>
      </w:pPr>
      <w:r w:rsidRPr="00A40B6E">
        <w:rPr>
          <w:rFonts w:asciiTheme="majorHAnsi" w:hAnsiTheme="majorHAnsi" w:cstheme="majorHAnsi"/>
          <w:bCs/>
        </w:rPr>
        <w:t>Tabako vartojimas Lietuvoje –</w:t>
      </w:r>
      <w:r w:rsidR="000149DE" w:rsidRPr="00A40B6E">
        <w:rPr>
          <w:rFonts w:asciiTheme="majorHAnsi" w:hAnsiTheme="majorHAnsi" w:cstheme="majorHAnsi"/>
          <w:bCs/>
        </w:rPr>
        <w:t xml:space="preserve"> neišskirtinis. </w:t>
      </w:r>
    </w:p>
    <w:p w14:paraId="60F1DF23" w14:textId="4799063D" w:rsidR="000149DE" w:rsidRPr="00A40B6E" w:rsidRDefault="007B7A1E" w:rsidP="00247E88">
      <w:pPr>
        <w:pStyle w:val="ListParagraph"/>
        <w:numPr>
          <w:ilvl w:val="0"/>
          <w:numId w:val="38"/>
        </w:numPr>
        <w:spacing w:line="256" w:lineRule="auto"/>
        <w:rPr>
          <w:rFonts w:asciiTheme="majorHAnsi" w:hAnsiTheme="majorHAnsi" w:cstheme="majorHAnsi"/>
        </w:rPr>
      </w:pPr>
      <w:r w:rsidRPr="00A40B6E">
        <w:rPr>
          <w:rFonts w:ascii="Calibri" w:hAnsi="Calibri" w:cs="Calibri"/>
          <w:bCs/>
          <w:color w:val="000000"/>
        </w:rPr>
        <w:t xml:space="preserve">Bendrinės pakuotės poveikis </w:t>
      </w:r>
      <w:r w:rsidR="007568F2" w:rsidRPr="00A40B6E">
        <w:rPr>
          <w:rFonts w:ascii="Calibri" w:hAnsi="Calibri" w:cs="Calibri"/>
          <w:bCs/>
          <w:color w:val="000000"/>
        </w:rPr>
        <w:t xml:space="preserve">– </w:t>
      </w:r>
      <w:r w:rsidRPr="00A40B6E">
        <w:rPr>
          <w:rFonts w:ascii="Calibri" w:hAnsi="Calibri" w:cs="Calibri"/>
          <w:bCs/>
          <w:color w:val="000000"/>
        </w:rPr>
        <w:t>nevienareikšmiškas</w:t>
      </w:r>
      <w:r w:rsidR="00B43C2E" w:rsidRPr="00A40B6E">
        <w:rPr>
          <w:rFonts w:asciiTheme="majorHAnsi" w:hAnsiTheme="majorHAnsi" w:cstheme="majorHAnsi"/>
          <w:bCs/>
        </w:rPr>
        <w:t>.</w:t>
      </w:r>
    </w:p>
    <w:p w14:paraId="34EBF8ED" w14:textId="4283B39C" w:rsidR="000149DE" w:rsidRPr="00A40B6E" w:rsidRDefault="00E5069F" w:rsidP="00381192">
      <w:pPr>
        <w:pStyle w:val="ListParagraph"/>
        <w:numPr>
          <w:ilvl w:val="1"/>
          <w:numId w:val="38"/>
        </w:numPr>
        <w:spacing w:line="256" w:lineRule="auto"/>
        <w:rPr>
          <w:rFonts w:asciiTheme="majorHAnsi" w:hAnsiTheme="majorHAnsi" w:cstheme="majorHAnsi"/>
        </w:rPr>
      </w:pPr>
      <w:r w:rsidRPr="00A40B6E">
        <w:rPr>
          <w:rFonts w:asciiTheme="majorHAnsi" w:hAnsiTheme="majorHAnsi" w:cstheme="majorHAnsi"/>
          <w:bCs/>
        </w:rPr>
        <w:t>Neįvertintas poveikis nelegaliai rinkai ir, kad reguliavimas gali p</w:t>
      </w:r>
      <w:r w:rsidR="000149DE" w:rsidRPr="00A40B6E">
        <w:rPr>
          <w:rFonts w:asciiTheme="majorHAnsi" w:hAnsiTheme="majorHAnsi" w:cstheme="majorHAnsi"/>
          <w:bCs/>
        </w:rPr>
        <w:t xml:space="preserve">askatinti didesnį </w:t>
      </w:r>
      <w:r w:rsidRPr="00A40B6E">
        <w:rPr>
          <w:rFonts w:asciiTheme="majorHAnsi" w:hAnsiTheme="majorHAnsi" w:cstheme="majorHAnsi"/>
          <w:bCs/>
        </w:rPr>
        <w:t>tabako</w:t>
      </w:r>
      <w:r w:rsidR="000149DE" w:rsidRPr="00A40B6E">
        <w:rPr>
          <w:rFonts w:asciiTheme="majorHAnsi" w:hAnsiTheme="majorHAnsi" w:cstheme="majorHAnsi"/>
          <w:bCs/>
        </w:rPr>
        <w:t xml:space="preserve"> gaminių vartojimą.</w:t>
      </w:r>
    </w:p>
    <w:p w14:paraId="5BB96959" w14:textId="609DE1BC" w:rsidR="000149DE" w:rsidRPr="00A40B6E" w:rsidRDefault="000149DE" w:rsidP="00247E88">
      <w:pPr>
        <w:pStyle w:val="ListParagraph"/>
        <w:numPr>
          <w:ilvl w:val="1"/>
          <w:numId w:val="38"/>
        </w:numPr>
        <w:spacing w:line="256" w:lineRule="auto"/>
        <w:rPr>
          <w:rFonts w:asciiTheme="majorHAnsi" w:hAnsiTheme="majorHAnsi" w:cstheme="majorHAnsi"/>
        </w:rPr>
      </w:pPr>
      <w:r w:rsidRPr="00A40B6E">
        <w:rPr>
          <w:rFonts w:asciiTheme="majorHAnsi" w:hAnsiTheme="majorHAnsi" w:cstheme="majorHAnsi"/>
        </w:rPr>
        <w:t xml:space="preserve">Bendrinės pakuotės įvedimas būtų palankesnis pigesnių cigarečių gamintojams. </w:t>
      </w:r>
    </w:p>
    <w:p w14:paraId="54C2C85B" w14:textId="2C86B65B" w:rsidR="00247E88" w:rsidRPr="00A40B6E" w:rsidRDefault="005A5426" w:rsidP="00247E88">
      <w:pPr>
        <w:spacing w:line="256" w:lineRule="auto"/>
        <w:rPr>
          <w:rFonts w:asciiTheme="majorHAnsi" w:hAnsiTheme="majorHAnsi" w:cstheme="majorHAnsi"/>
        </w:rPr>
      </w:pPr>
      <w:r w:rsidRPr="00A40B6E">
        <w:rPr>
          <w:rFonts w:asciiTheme="majorHAnsi" w:hAnsiTheme="majorHAnsi" w:cstheme="majorHAnsi"/>
        </w:rPr>
        <w:t>Nepritariame tabako gaminių pardavimui tiesiogiai neprieinamu būdu</w:t>
      </w:r>
      <w:r w:rsidR="00B43C2E" w:rsidRPr="00A40B6E">
        <w:rPr>
          <w:rFonts w:asciiTheme="majorHAnsi" w:hAnsiTheme="majorHAnsi" w:cstheme="majorHAnsi"/>
        </w:rPr>
        <w:t>.</w:t>
      </w:r>
    </w:p>
    <w:p w14:paraId="2E50291D" w14:textId="71031E9C" w:rsidR="00247E88" w:rsidRPr="00A40B6E" w:rsidRDefault="00B43C2E" w:rsidP="0015503F">
      <w:pPr>
        <w:pStyle w:val="ListParagraph"/>
        <w:numPr>
          <w:ilvl w:val="0"/>
          <w:numId w:val="37"/>
        </w:numPr>
        <w:spacing w:line="256" w:lineRule="auto"/>
        <w:rPr>
          <w:rFonts w:asciiTheme="majorHAnsi" w:hAnsiTheme="majorHAnsi" w:cstheme="majorHAnsi"/>
        </w:rPr>
      </w:pPr>
      <w:r w:rsidRPr="00A40B6E">
        <w:rPr>
          <w:rFonts w:asciiTheme="majorHAnsi" w:eastAsia="Times New Roman" w:hAnsiTheme="majorHAnsi" w:cstheme="majorHAnsi"/>
          <w:bCs/>
        </w:rPr>
        <w:t>Nepagrįsta ko</w:t>
      </w:r>
      <w:r w:rsidR="00247E88" w:rsidRPr="00A40B6E">
        <w:rPr>
          <w:rFonts w:asciiTheme="majorHAnsi" w:eastAsia="Times New Roman" w:hAnsiTheme="majorHAnsi" w:cstheme="majorHAnsi"/>
          <w:bCs/>
        </w:rPr>
        <w:t>dėl reikia dar vieno draudimo.</w:t>
      </w:r>
    </w:p>
    <w:p w14:paraId="1DADD4E2" w14:textId="20B35606" w:rsidR="00247E88" w:rsidRPr="00A40B6E" w:rsidRDefault="00247E88" w:rsidP="00F501C7">
      <w:pPr>
        <w:pStyle w:val="ListParagraph"/>
        <w:numPr>
          <w:ilvl w:val="0"/>
          <w:numId w:val="37"/>
        </w:numPr>
        <w:spacing w:line="256" w:lineRule="auto"/>
        <w:rPr>
          <w:rFonts w:asciiTheme="majorHAnsi" w:hAnsiTheme="majorHAnsi" w:cstheme="majorHAnsi"/>
        </w:rPr>
      </w:pPr>
      <w:r w:rsidRPr="00A40B6E">
        <w:rPr>
          <w:rFonts w:asciiTheme="majorHAnsi" w:hAnsiTheme="majorHAnsi" w:cstheme="majorHAnsi"/>
          <w:bCs/>
        </w:rPr>
        <w:t>P</w:t>
      </w:r>
      <w:r w:rsidRPr="00A40B6E">
        <w:rPr>
          <w:rFonts w:asciiTheme="majorHAnsi" w:hAnsiTheme="majorHAnsi" w:cstheme="majorHAnsi"/>
          <w:bCs/>
          <w:color w:val="000000"/>
        </w:rPr>
        <w:t xml:space="preserve">ardavimo tiesiogiai neprieinamu būdu poveikis </w:t>
      </w:r>
      <w:r w:rsidRPr="00A40B6E">
        <w:rPr>
          <w:rFonts w:asciiTheme="majorHAnsi" w:hAnsiTheme="majorHAnsi" w:cstheme="majorHAnsi"/>
          <w:bCs/>
        </w:rPr>
        <w:t>–</w:t>
      </w:r>
      <w:r w:rsidRPr="00A40B6E">
        <w:rPr>
          <w:rFonts w:asciiTheme="majorHAnsi" w:hAnsiTheme="majorHAnsi" w:cstheme="majorHAnsi"/>
          <w:bCs/>
          <w:color w:val="000000"/>
        </w:rPr>
        <w:t xml:space="preserve"> nevienareikšmis.</w:t>
      </w:r>
      <w:r w:rsidRPr="00A40B6E">
        <w:rPr>
          <w:rFonts w:asciiTheme="majorHAnsi" w:hAnsiTheme="majorHAnsi" w:cstheme="majorHAnsi"/>
        </w:rPr>
        <w:t xml:space="preserve">  </w:t>
      </w:r>
    </w:p>
    <w:p w14:paraId="088F7561" w14:textId="2B4D6F8D" w:rsidR="00247E88" w:rsidRPr="00A40B6E" w:rsidRDefault="00B43C2E" w:rsidP="00247E88">
      <w:pPr>
        <w:pStyle w:val="ListParagraph"/>
        <w:numPr>
          <w:ilvl w:val="0"/>
          <w:numId w:val="37"/>
        </w:numPr>
        <w:spacing w:line="256" w:lineRule="auto"/>
        <w:rPr>
          <w:rFonts w:asciiTheme="majorHAnsi" w:hAnsiTheme="majorHAnsi" w:cstheme="majorHAnsi"/>
        </w:rPr>
      </w:pPr>
      <w:r w:rsidRPr="00A40B6E">
        <w:rPr>
          <w:rFonts w:asciiTheme="majorHAnsi" w:hAnsiTheme="majorHAnsi" w:cstheme="majorHAnsi"/>
        </w:rPr>
        <w:t>Re</w:t>
      </w:r>
      <w:r w:rsidR="00247E88" w:rsidRPr="00A40B6E">
        <w:rPr>
          <w:rFonts w:asciiTheme="majorHAnsi" w:hAnsiTheme="majorHAnsi" w:cstheme="majorHAnsi"/>
        </w:rPr>
        <w:t xml:space="preserve">ikalavimas tabako ir susijusius gaminius parduoti tiesiogiai neprieinamu būdu sukeltų šias </w:t>
      </w:r>
      <w:r w:rsidRPr="00A40B6E">
        <w:rPr>
          <w:rFonts w:asciiTheme="majorHAnsi" w:hAnsiTheme="majorHAnsi" w:cstheme="majorHAnsi"/>
        </w:rPr>
        <w:t xml:space="preserve">neįvertintas </w:t>
      </w:r>
      <w:r w:rsidR="00247E88" w:rsidRPr="00A40B6E">
        <w:rPr>
          <w:rFonts w:asciiTheme="majorHAnsi" w:hAnsiTheme="majorHAnsi" w:cstheme="majorHAnsi"/>
        </w:rPr>
        <w:t>neigia</w:t>
      </w:r>
      <w:r w:rsidRPr="00A40B6E">
        <w:rPr>
          <w:rFonts w:asciiTheme="majorHAnsi" w:hAnsiTheme="majorHAnsi" w:cstheme="majorHAnsi"/>
        </w:rPr>
        <w:t>mas pasekmes</w:t>
      </w:r>
      <w:r w:rsidR="00247E88" w:rsidRPr="00A40B6E">
        <w:rPr>
          <w:rFonts w:asciiTheme="majorHAnsi" w:hAnsiTheme="majorHAnsi" w:cstheme="majorHAnsi"/>
        </w:rPr>
        <w:t>:</w:t>
      </w:r>
    </w:p>
    <w:p w14:paraId="7CE5614F" w14:textId="6E864BA8" w:rsidR="00247E88" w:rsidRPr="00A40B6E" w:rsidRDefault="007568F2" w:rsidP="00773778">
      <w:pPr>
        <w:pStyle w:val="ListParagraph"/>
        <w:numPr>
          <w:ilvl w:val="1"/>
          <w:numId w:val="29"/>
        </w:numPr>
        <w:spacing w:line="256" w:lineRule="auto"/>
        <w:rPr>
          <w:rFonts w:asciiTheme="majorHAnsi" w:hAnsiTheme="majorHAnsi" w:cstheme="majorHAnsi"/>
          <w:lang w:eastAsia="lt-LT"/>
        </w:rPr>
      </w:pPr>
      <w:r w:rsidRPr="00A40B6E">
        <w:rPr>
          <w:rFonts w:asciiTheme="majorHAnsi" w:hAnsiTheme="majorHAnsi" w:cstheme="majorHAnsi"/>
        </w:rPr>
        <w:t>neįvertinti kaštai, kuriuos patirtų verslas</w:t>
      </w:r>
      <w:r w:rsidR="00B43C2E" w:rsidRPr="00A40B6E">
        <w:rPr>
          <w:rFonts w:asciiTheme="majorHAnsi" w:hAnsiTheme="majorHAnsi" w:cstheme="majorHAnsi"/>
        </w:rPr>
        <w:t>;</w:t>
      </w:r>
    </w:p>
    <w:p w14:paraId="76F23166" w14:textId="1136BD38" w:rsidR="00F501C7" w:rsidRPr="00A40B6E" w:rsidRDefault="007568F2" w:rsidP="00773778">
      <w:pPr>
        <w:pStyle w:val="ListParagraph"/>
        <w:numPr>
          <w:ilvl w:val="1"/>
          <w:numId w:val="29"/>
        </w:numPr>
        <w:spacing w:line="256" w:lineRule="auto"/>
        <w:rPr>
          <w:rFonts w:asciiTheme="majorHAnsi" w:hAnsiTheme="majorHAnsi" w:cstheme="majorHAnsi"/>
        </w:rPr>
      </w:pPr>
      <w:r w:rsidRPr="00A40B6E">
        <w:rPr>
          <w:rFonts w:asciiTheme="majorHAnsi" w:hAnsiTheme="majorHAnsi" w:cstheme="majorHAnsi"/>
          <w:lang w:eastAsia="lt-LT"/>
        </w:rPr>
        <w:t>neproporcingai diskriminuojami prekiautojai tabaku, kurie turės uždengti išorines vitrinas ir kitus parduotuvės išorinius įrenginius;</w:t>
      </w:r>
    </w:p>
    <w:p w14:paraId="2DDC5826" w14:textId="23D3ADF8" w:rsidR="00F501C7" w:rsidRPr="00A40B6E" w:rsidRDefault="00F501C7" w:rsidP="00773778">
      <w:pPr>
        <w:pStyle w:val="ListParagraph"/>
        <w:numPr>
          <w:ilvl w:val="0"/>
          <w:numId w:val="29"/>
        </w:numPr>
        <w:spacing w:line="256" w:lineRule="auto"/>
        <w:rPr>
          <w:rFonts w:asciiTheme="majorHAnsi" w:hAnsiTheme="majorHAnsi" w:cstheme="majorHAnsi"/>
          <w:lang w:eastAsia="lt-LT"/>
        </w:rPr>
      </w:pPr>
      <w:r w:rsidRPr="00A40B6E">
        <w:rPr>
          <w:rFonts w:asciiTheme="majorHAnsi" w:hAnsiTheme="majorHAnsi" w:cstheme="majorHAnsi"/>
        </w:rPr>
        <w:t>Apribojamas kelias į Lietuvos rinką ateiti kitiems tabako gamintojams.</w:t>
      </w:r>
    </w:p>
    <w:p w14:paraId="66CD9746" w14:textId="708E4E84" w:rsidR="00247E88" w:rsidRPr="00A40B6E" w:rsidRDefault="005A5426" w:rsidP="00247E88">
      <w:pPr>
        <w:rPr>
          <w:rFonts w:asciiTheme="majorHAnsi" w:hAnsiTheme="majorHAnsi" w:cstheme="majorHAnsi"/>
        </w:rPr>
      </w:pPr>
      <w:r w:rsidRPr="00A40B6E">
        <w:rPr>
          <w:rFonts w:asciiTheme="majorHAnsi" w:hAnsiTheme="majorHAnsi" w:cstheme="majorHAnsi"/>
        </w:rPr>
        <w:t>Nepritariame nerūkymo zonų plėtrai</w:t>
      </w:r>
      <w:r w:rsidR="00B43C2E" w:rsidRPr="00A40B6E">
        <w:rPr>
          <w:rFonts w:asciiTheme="majorHAnsi" w:hAnsiTheme="majorHAnsi" w:cstheme="majorHAnsi"/>
        </w:rPr>
        <w:t>.</w:t>
      </w:r>
    </w:p>
    <w:p w14:paraId="500454CC" w14:textId="75C26332" w:rsidR="00247E88" w:rsidRPr="00A40B6E" w:rsidRDefault="00A17508" w:rsidP="005316A5">
      <w:pPr>
        <w:pStyle w:val="ListParagraph"/>
        <w:numPr>
          <w:ilvl w:val="0"/>
          <w:numId w:val="34"/>
        </w:numPr>
        <w:spacing w:after="0" w:line="240" w:lineRule="auto"/>
        <w:textAlignment w:val="baseline"/>
        <w:rPr>
          <w:rFonts w:asciiTheme="majorHAnsi" w:eastAsia="Times New Roman" w:hAnsiTheme="majorHAnsi" w:cstheme="majorHAnsi"/>
          <w:bCs/>
        </w:rPr>
      </w:pPr>
      <w:r w:rsidRPr="00A40B6E">
        <w:rPr>
          <w:rFonts w:asciiTheme="majorHAnsi" w:eastAsia="Times New Roman" w:hAnsiTheme="majorHAnsi" w:cstheme="majorHAnsi"/>
          <w:bCs/>
        </w:rPr>
        <w:t xml:space="preserve">Daugiabučių bendrijos pačios gali nustatyti, kuriose teritorijose gali būti rūkoma, </w:t>
      </w:r>
      <w:r w:rsidR="00B43C2E" w:rsidRPr="00A40B6E">
        <w:rPr>
          <w:rFonts w:asciiTheme="majorHAnsi" w:eastAsia="Times New Roman" w:hAnsiTheme="majorHAnsi" w:cstheme="majorHAnsi"/>
          <w:bCs/>
        </w:rPr>
        <w:t xml:space="preserve">o </w:t>
      </w:r>
      <w:r w:rsidRPr="00A40B6E">
        <w:rPr>
          <w:rFonts w:asciiTheme="majorHAnsi" w:eastAsia="Times New Roman" w:hAnsiTheme="majorHAnsi" w:cstheme="majorHAnsi"/>
          <w:bCs/>
        </w:rPr>
        <w:t>kuriose  – ne</w:t>
      </w:r>
      <w:r w:rsidR="00247E88" w:rsidRPr="00A40B6E">
        <w:rPr>
          <w:rFonts w:asciiTheme="majorHAnsi" w:eastAsia="Times New Roman" w:hAnsiTheme="majorHAnsi" w:cstheme="majorHAnsi"/>
          <w:bCs/>
        </w:rPr>
        <w:t>.</w:t>
      </w:r>
    </w:p>
    <w:p w14:paraId="1334410C" w14:textId="77777777" w:rsidR="00247E88" w:rsidRPr="00A40B6E" w:rsidRDefault="00A17508" w:rsidP="00561C98">
      <w:pPr>
        <w:pStyle w:val="ListParagraph"/>
        <w:numPr>
          <w:ilvl w:val="0"/>
          <w:numId w:val="34"/>
        </w:numPr>
        <w:spacing w:after="0" w:line="240" w:lineRule="auto"/>
        <w:textAlignment w:val="baseline"/>
        <w:rPr>
          <w:rFonts w:asciiTheme="majorHAnsi" w:eastAsia="Times New Roman" w:hAnsiTheme="majorHAnsi" w:cstheme="majorHAnsi"/>
          <w:bCs/>
        </w:rPr>
      </w:pPr>
      <w:r w:rsidRPr="00A40B6E">
        <w:rPr>
          <w:rFonts w:asciiTheme="majorHAnsi" w:eastAsia="Times New Roman" w:hAnsiTheme="majorHAnsi" w:cstheme="majorHAnsi"/>
          <w:bCs/>
        </w:rPr>
        <w:lastRenderedPageBreak/>
        <w:t>Viešojo maitinimo įstaigos, tolimojo susisiekimo traukinių, orlaivių bendrovės gali pačios nustatyti kur gali būti rūkoma, o kur  – ne.</w:t>
      </w:r>
    </w:p>
    <w:p w14:paraId="1CD83381" w14:textId="1396973A" w:rsidR="00A17508" w:rsidRPr="00A40B6E" w:rsidRDefault="00A17508" w:rsidP="00561C98">
      <w:pPr>
        <w:pStyle w:val="ListParagraph"/>
        <w:numPr>
          <w:ilvl w:val="0"/>
          <w:numId w:val="34"/>
        </w:numPr>
        <w:spacing w:after="0" w:line="240" w:lineRule="auto"/>
        <w:textAlignment w:val="baseline"/>
        <w:rPr>
          <w:rFonts w:asciiTheme="majorHAnsi" w:eastAsia="Times New Roman" w:hAnsiTheme="majorHAnsi" w:cstheme="majorHAnsi"/>
          <w:bCs/>
        </w:rPr>
      </w:pPr>
      <w:r w:rsidRPr="00A40B6E">
        <w:rPr>
          <w:rFonts w:asciiTheme="majorHAnsi" w:eastAsia="Times New Roman" w:hAnsiTheme="majorHAnsi" w:cstheme="majorHAnsi"/>
          <w:bCs/>
        </w:rPr>
        <w:t>Sudėtingas įstatymo vykdymo užtikrinimas.</w:t>
      </w:r>
    </w:p>
    <w:p w14:paraId="1825119B" w14:textId="77777777" w:rsidR="000149DE" w:rsidRPr="00A40B6E" w:rsidRDefault="000149DE" w:rsidP="000149DE">
      <w:pPr>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heme="majorHAnsi" w:eastAsia="Times New Roman" w:hAnsiTheme="majorHAnsi" w:cstheme="majorHAnsi"/>
          <w:bCs/>
        </w:rPr>
      </w:pPr>
    </w:p>
    <w:p w14:paraId="3DDA0DBC" w14:textId="77777777" w:rsidR="00D466FA" w:rsidRPr="00A40B6E" w:rsidRDefault="00D466FA" w:rsidP="00D466FA">
      <w:pPr>
        <w:pBdr>
          <w:top w:val="none" w:sz="0" w:space="0" w:color="auto"/>
          <w:left w:val="none" w:sz="0" w:space="0" w:color="auto"/>
          <w:bottom w:val="none" w:sz="0" w:space="0" w:color="auto"/>
          <w:right w:val="none" w:sz="0" w:space="0" w:color="auto"/>
          <w:between w:val="none" w:sz="0" w:space="0" w:color="auto"/>
        </w:pBdr>
        <w:spacing w:after="0" w:line="240" w:lineRule="auto"/>
        <w:ind w:left="720"/>
        <w:textAlignment w:val="baseline"/>
        <w:rPr>
          <w:rFonts w:asciiTheme="majorHAnsi" w:eastAsia="Times New Roman" w:hAnsiTheme="majorHAnsi" w:cstheme="majorHAnsi"/>
          <w:bCs/>
        </w:rPr>
      </w:pPr>
    </w:p>
    <w:p w14:paraId="476023CD" w14:textId="04EEEE97" w:rsidR="0095124A" w:rsidRPr="00A40B6E" w:rsidRDefault="00D466FA" w:rsidP="005A5426">
      <w:pPr>
        <w:rPr>
          <w:rFonts w:asciiTheme="majorHAnsi" w:hAnsiTheme="majorHAnsi" w:cstheme="majorHAnsi"/>
        </w:rPr>
      </w:pPr>
      <w:r w:rsidRPr="00A40B6E">
        <w:rPr>
          <w:rFonts w:asciiTheme="majorHAnsi" w:hAnsiTheme="majorHAnsi" w:cstheme="majorHAnsi"/>
        </w:rPr>
        <w:t>Dėl šių priežasčių siūlome nepritarti Projekto 5, 11, 13, 15 straipsniams. Prieš siūlant šį įstatymo projektą, turėjo būti įvertinta, koks yra dabartinių tabako kontrolės priemonių poveikis, būti pagrįsta, kodėl reikalingi nauji reguliavimai, kaip tie reguliavimai padės pasiekti išsikeltus tikslus. To nėra atlikta.</w:t>
      </w:r>
    </w:p>
    <w:p w14:paraId="5D43B75F" w14:textId="77777777" w:rsidR="00D466FA" w:rsidRPr="00A40B6E" w:rsidRDefault="00D466FA" w:rsidP="005A5426">
      <w:pPr>
        <w:rPr>
          <w:rFonts w:asciiTheme="majorHAnsi" w:hAnsiTheme="majorHAnsi" w:cstheme="majorHAnsi"/>
        </w:rPr>
      </w:pPr>
    </w:p>
    <w:p w14:paraId="1BFD1E2B" w14:textId="77777777" w:rsidR="0095124A" w:rsidRPr="00A40B6E" w:rsidRDefault="0095124A" w:rsidP="005A5426">
      <w:pPr>
        <w:rPr>
          <w:rFonts w:asciiTheme="majorHAnsi" w:hAnsiTheme="majorHAnsi" w:cstheme="majorHAnsi"/>
          <w:b/>
        </w:rPr>
      </w:pPr>
    </w:p>
    <w:p w14:paraId="41C24F4D" w14:textId="5EBD373E" w:rsidR="00B43C2E" w:rsidRPr="00A40B6E" w:rsidRDefault="00B43C2E" w:rsidP="005A5426">
      <w:pPr>
        <w:rPr>
          <w:rFonts w:asciiTheme="majorHAnsi" w:hAnsiTheme="majorHAnsi" w:cstheme="majorHAnsi"/>
          <w:b/>
        </w:rPr>
      </w:pPr>
      <w:r w:rsidRPr="00A40B6E">
        <w:rPr>
          <w:rFonts w:asciiTheme="majorHAnsi" w:hAnsiTheme="majorHAnsi" w:cstheme="majorHAnsi"/>
          <w:b/>
        </w:rPr>
        <w:t>Literatūros ir šaltinių sąrašas</w:t>
      </w:r>
    </w:p>
    <w:p w14:paraId="32FE4C0C" w14:textId="77777777" w:rsidR="00CC2C4F" w:rsidRPr="00A40B6E" w:rsidRDefault="005A5426" w:rsidP="00CC2C4F">
      <w:pPr>
        <w:pStyle w:val="EndNoteBibliography"/>
        <w:spacing w:after="0"/>
        <w:ind w:left="720" w:hanging="720"/>
      </w:pPr>
      <w:r w:rsidRPr="00A40B6E">
        <w:rPr>
          <w:rFonts w:asciiTheme="majorHAnsi" w:hAnsiTheme="majorHAnsi" w:cstheme="majorHAnsi"/>
        </w:rPr>
        <w:fldChar w:fldCharType="begin"/>
      </w:r>
      <w:r w:rsidRPr="00A40B6E">
        <w:rPr>
          <w:rFonts w:asciiTheme="majorHAnsi" w:hAnsiTheme="majorHAnsi" w:cstheme="majorHAnsi"/>
        </w:rPr>
        <w:instrText xml:space="preserve"> ADDIN EN.REFLIST </w:instrText>
      </w:r>
      <w:r w:rsidRPr="00A40B6E">
        <w:rPr>
          <w:rFonts w:asciiTheme="majorHAnsi" w:hAnsiTheme="majorHAnsi" w:cstheme="majorHAnsi"/>
        </w:rPr>
        <w:fldChar w:fldCharType="separate"/>
      </w:r>
      <w:bookmarkStart w:id="1" w:name="_ENREF_1"/>
      <w:r w:rsidR="00CC2C4F" w:rsidRPr="00A40B6E">
        <w:t xml:space="preserve">Basham, P. (2010). Canada's ruinous tobacco display ban: economic and public health lessons. IEA Discussion Paper 29. </w:t>
      </w:r>
      <w:bookmarkEnd w:id="1"/>
    </w:p>
    <w:p w14:paraId="18298C31" w14:textId="77777777" w:rsidR="00CC2C4F" w:rsidRPr="00A40B6E" w:rsidRDefault="00CC2C4F" w:rsidP="00CC2C4F">
      <w:pPr>
        <w:pStyle w:val="EndNoteBibliography"/>
        <w:spacing w:after="0"/>
        <w:ind w:left="720" w:hanging="720"/>
      </w:pPr>
      <w:bookmarkStart w:id="2" w:name="_ENREF_2"/>
      <w:r w:rsidRPr="00A40B6E">
        <w:t xml:space="preserve">Finance', B. (2017). Plain packaging 2017. Brand impact analysis. 13. </w:t>
      </w:r>
      <w:bookmarkEnd w:id="2"/>
    </w:p>
    <w:p w14:paraId="2EBEF3C6" w14:textId="77777777" w:rsidR="00CC2C4F" w:rsidRPr="00A40B6E" w:rsidRDefault="00CC2C4F" w:rsidP="00CC2C4F">
      <w:pPr>
        <w:pStyle w:val="EndNoteBibliography"/>
        <w:spacing w:after="0"/>
        <w:ind w:left="720" w:hanging="720"/>
      </w:pPr>
      <w:bookmarkStart w:id="3" w:name="_ENREF_3"/>
      <w:r w:rsidRPr="00A40B6E">
        <w:t xml:space="preserve">Kelly-Gagnon, M. (2011). Plain Packaging and its Unintended Consequences. </w:t>
      </w:r>
      <w:r w:rsidRPr="00A40B6E">
        <w:rPr>
          <w:i/>
        </w:rPr>
        <w:t>Economic Note</w:t>
      </w:r>
      <w:r w:rsidRPr="00A40B6E">
        <w:t xml:space="preserve">, 4. </w:t>
      </w:r>
      <w:bookmarkEnd w:id="3"/>
    </w:p>
    <w:p w14:paraId="439D3404" w14:textId="77777777" w:rsidR="00CC2C4F" w:rsidRPr="00A40B6E" w:rsidRDefault="00CC2C4F" w:rsidP="00CC2C4F">
      <w:pPr>
        <w:pStyle w:val="EndNoteBibliography"/>
        <w:spacing w:after="0"/>
        <w:ind w:left="720" w:hanging="720"/>
      </w:pPr>
      <w:bookmarkStart w:id="4" w:name="_ENREF_4"/>
      <w:r w:rsidRPr="00A40B6E">
        <w:t xml:space="preserve">KPMG. (2017). Illicit tobacco in Australia. </w:t>
      </w:r>
      <w:bookmarkEnd w:id="4"/>
    </w:p>
    <w:p w14:paraId="5DC2423B" w14:textId="77777777" w:rsidR="00CC2C4F" w:rsidRPr="00A40B6E" w:rsidRDefault="00CC2C4F" w:rsidP="00CC2C4F">
      <w:pPr>
        <w:pStyle w:val="EndNoteBibliography"/>
        <w:spacing w:after="0"/>
        <w:ind w:left="720" w:hanging="720"/>
      </w:pPr>
      <w:bookmarkStart w:id="5" w:name="_ENREF_5"/>
      <w:r w:rsidRPr="00A40B6E">
        <w:t xml:space="preserve">Lilico, A. (2009). The impacts of restrictions on the display of tobacco products: A supplemental report. </w:t>
      </w:r>
      <w:r w:rsidRPr="00A40B6E">
        <w:rPr>
          <w:i/>
        </w:rPr>
        <w:t>Europe Economics, October</w:t>
      </w:r>
      <w:r w:rsidRPr="00A40B6E">
        <w:t xml:space="preserve">. </w:t>
      </w:r>
      <w:bookmarkEnd w:id="5"/>
    </w:p>
    <w:p w14:paraId="3CE562C6" w14:textId="77777777" w:rsidR="00CC2C4F" w:rsidRPr="00A40B6E" w:rsidRDefault="00CC2C4F" w:rsidP="00CC2C4F">
      <w:pPr>
        <w:pStyle w:val="EndNoteBibliography"/>
        <w:spacing w:after="0"/>
        <w:ind w:left="720" w:hanging="720"/>
      </w:pPr>
      <w:bookmarkStart w:id="6" w:name="_ENREF_6"/>
      <w:r w:rsidRPr="00A40B6E">
        <w:t xml:space="preserve">London economics. (2012). The role of packaging imagery on consumer preferences for experience goods. A consumer behavioural experiment. 46. </w:t>
      </w:r>
      <w:bookmarkEnd w:id="6"/>
    </w:p>
    <w:p w14:paraId="4BD5E8A2" w14:textId="77777777" w:rsidR="00CC2C4F" w:rsidRPr="00A40B6E" w:rsidRDefault="00CC2C4F" w:rsidP="00CC2C4F">
      <w:pPr>
        <w:pStyle w:val="EndNoteBibliography"/>
        <w:spacing w:after="0"/>
        <w:ind w:left="720" w:hanging="720"/>
      </w:pPr>
      <w:bookmarkStart w:id="7" w:name="_ENREF_7"/>
      <w:r w:rsidRPr="00A40B6E">
        <w:t xml:space="preserve">Scollo, M., Zacher, M., Coomber, K., Bayly, M., &amp; Wakefield, M. (2015). Changes in use of types of tobacco products by pack sizes and price segments, prices paid and consumption following the introduction of plain packaging in Australia. </w:t>
      </w:r>
      <w:r w:rsidRPr="00A40B6E">
        <w:rPr>
          <w:i/>
        </w:rPr>
        <w:t>Tobacco control, 24</w:t>
      </w:r>
      <w:r w:rsidRPr="00A40B6E">
        <w:t xml:space="preserve">(Suppl 2), ii66-ii75. </w:t>
      </w:r>
      <w:bookmarkEnd w:id="7"/>
    </w:p>
    <w:p w14:paraId="0A31B961" w14:textId="77777777" w:rsidR="00CC2C4F" w:rsidRPr="00A40B6E" w:rsidRDefault="00CC2C4F" w:rsidP="00CC2C4F">
      <w:pPr>
        <w:pStyle w:val="EndNoteBibliography"/>
        <w:ind w:left="720" w:hanging="720"/>
      </w:pPr>
      <w:bookmarkStart w:id="8" w:name="_ENREF_8"/>
      <w:r w:rsidRPr="00A40B6E">
        <w:t xml:space="preserve">Snowdon, C. (2014 August). PLAIN PACKAGING – QUESTIONS THAT NEED ANSWERING. </w:t>
      </w:r>
      <w:bookmarkEnd w:id="8"/>
    </w:p>
    <w:p w14:paraId="003372D2" w14:textId="684A6C83" w:rsidR="005A5426" w:rsidRPr="00247E88" w:rsidRDefault="005A5426" w:rsidP="005A5426">
      <w:pPr>
        <w:rPr>
          <w:rFonts w:asciiTheme="majorHAnsi" w:hAnsiTheme="majorHAnsi" w:cstheme="majorHAnsi"/>
        </w:rPr>
      </w:pPr>
      <w:r w:rsidRPr="00A40B6E">
        <w:rPr>
          <w:rFonts w:asciiTheme="majorHAnsi" w:hAnsiTheme="majorHAnsi" w:cstheme="majorHAnsi"/>
        </w:rPr>
        <w:fldChar w:fldCharType="end"/>
      </w:r>
    </w:p>
    <w:p w14:paraId="50C8922B" w14:textId="27294679" w:rsidR="00974565" w:rsidRPr="00247E88" w:rsidRDefault="00974565" w:rsidP="005A5426">
      <w:pPr>
        <w:rPr>
          <w:rFonts w:asciiTheme="majorHAnsi" w:hAnsiTheme="majorHAnsi" w:cstheme="majorHAnsi"/>
        </w:rPr>
      </w:pPr>
    </w:p>
    <w:sectPr w:rsidR="00974565" w:rsidRPr="00247E88">
      <w:headerReference w:type="default" r:id="rId11"/>
      <w:footerReference w:type="default" r:id="rId12"/>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731D" w14:textId="77777777" w:rsidR="0044611E" w:rsidRDefault="0044611E">
      <w:pPr>
        <w:spacing w:after="0" w:line="240" w:lineRule="auto"/>
      </w:pPr>
      <w:r>
        <w:separator/>
      </w:r>
    </w:p>
  </w:endnote>
  <w:endnote w:type="continuationSeparator" w:id="0">
    <w:p w14:paraId="4A3BA357" w14:textId="77777777" w:rsidR="0044611E" w:rsidRDefault="0044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802E" w14:textId="0523B1BF" w:rsidR="00BC7861" w:rsidRDefault="00BC7861">
    <w:pPr>
      <w:tabs>
        <w:tab w:val="center" w:pos="4819"/>
        <w:tab w:val="right" w:pos="9638"/>
      </w:tabs>
      <w:spacing w:after="0" w:line="240" w:lineRule="auto"/>
      <w:jc w:val="center"/>
    </w:pPr>
    <w:r>
      <w:fldChar w:fldCharType="begin"/>
    </w:r>
    <w:r>
      <w:instrText>PAGE</w:instrText>
    </w:r>
    <w:r>
      <w:fldChar w:fldCharType="separate"/>
    </w:r>
    <w:r w:rsidR="00DC0F60">
      <w:rPr>
        <w:noProof/>
      </w:rPr>
      <w:t>9</w:t>
    </w:r>
    <w:r>
      <w:fldChar w:fldCharType="end"/>
    </w:r>
  </w:p>
  <w:p w14:paraId="5428460B" w14:textId="77777777" w:rsidR="00BC7861" w:rsidRDefault="00BC7861">
    <w:pPr>
      <w:tabs>
        <w:tab w:val="center" w:pos="4819"/>
        <w:tab w:val="right" w:pos="9638"/>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84BE" w14:textId="77777777" w:rsidR="0044611E" w:rsidRDefault="0044611E">
      <w:pPr>
        <w:spacing w:after="0" w:line="240" w:lineRule="auto"/>
      </w:pPr>
      <w:r>
        <w:separator/>
      </w:r>
    </w:p>
  </w:footnote>
  <w:footnote w:type="continuationSeparator" w:id="0">
    <w:p w14:paraId="4EAD3B97" w14:textId="77777777" w:rsidR="0044611E" w:rsidRDefault="0044611E">
      <w:pPr>
        <w:spacing w:after="0" w:line="240" w:lineRule="auto"/>
      </w:pPr>
      <w:r>
        <w:continuationSeparator/>
      </w:r>
    </w:p>
  </w:footnote>
  <w:footnote w:id="1">
    <w:p w14:paraId="6037D277" w14:textId="77777777" w:rsidR="00BC7861" w:rsidRPr="00E60BD1" w:rsidRDefault="00BC7861" w:rsidP="005A5426">
      <w:pPr>
        <w:spacing w:after="0" w:line="240" w:lineRule="auto"/>
        <w:rPr>
          <w:rFonts w:asciiTheme="majorHAnsi" w:hAnsiTheme="majorHAnsi" w:cstheme="majorHAnsi"/>
          <w:sz w:val="20"/>
          <w:szCs w:val="20"/>
        </w:rPr>
      </w:pPr>
      <w:r w:rsidRPr="00E60BD1">
        <w:rPr>
          <w:rFonts w:asciiTheme="majorHAnsi" w:hAnsiTheme="majorHAnsi" w:cstheme="majorHAnsi"/>
          <w:sz w:val="20"/>
          <w:szCs w:val="20"/>
          <w:vertAlign w:val="superscript"/>
        </w:rPr>
        <w:footnoteRef/>
      </w:r>
      <w:r w:rsidRPr="00E60BD1">
        <w:rPr>
          <w:rFonts w:asciiTheme="majorHAnsi" w:hAnsiTheme="majorHAnsi" w:cstheme="majorHAnsi"/>
          <w:sz w:val="20"/>
          <w:szCs w:val="20"/>
        </w:rPr>
        <w:t xml:space="preserve"> </w:t>
      </w:r>
      <w:hyperlink r:id="rId1" w:history="1">
        <w:r w:rsidRPr="00E60BD1">
          <w:rPr>
            <w:rStyle w:val="Hyperlink"/>
            <w:rFonts w:asciiTheme="majorHAnsi" w:hAnsiTheme="majorHAnsi" w:cstheme="majorHAnsi"/>
            <w:sz w:val="20"/>
            <w:szCs w:val="20"/>
          </w:rPr>
          <w:t>https://e-seimas.lrs.lt/portal/legalAct/lt/TAP/bbe5ac50a61711e8aa33fe8f0fea665f</w:t>
        </w:r>
      </w:hyperlink>
      <w:r w:rsidRPr="00E60BD1">
        <w:rPr>
          <w:rFonts w:asciiTheme="majorHAnsi" w:hAnsiTheme="majorHAnsi" w:cstheme="majorHAnsi"/>
          <w:color w:val="1155CC"/>
          <w:sz w:val="20"/>
          <w:szCs w:val="20"/>
          <w:u w:val="single"/>
        </w:rPr>
        <w:t xml:space="preserve"> </w:t>
      </w:r>
    </w:p>
  </w:footnote>
  <w:footnote w:id="2">
    <w:p w14:paraId="5891FFBD" w14:textId="7372F320" w:rsidR="00BC7861" w:rsidRPr="00E60BD1" w:rsidRDefault="00BC7861" w:rsidP="005A5426">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Tai reguliavimas cigarečių pakuočių ir pakelių fizinei išvaizdai, įpakavimui</w:t>
      </w:r>
      <w:r w:rsidR="003F6C47">
        <w:rPr>
          <w:rFonts w:asciiTheme="majorHAnsi" w:hAnsiTheme="majorHAnsi" w:cstheme="majorHAnsi"/>
        </w:rPr>
        <w:t>, spalvai –</w:t>
      </w:r>
      <w:r w:rsidRPr="00E60BD1">
        <w:rPr>
          <w:rFonts w:asciiTheme="majorHAnsi" w:hAnsiTheme="majorHAnsi" w:cstheme="majorHAnsi"/>
        </w:rPr>
        <w:t xml:space="preserve"> draudimas prekės ženklo naudojimui</w:t>
      </w:r>
      <w:r w:rsidR="003F6C47">
        <w:rPr>
          <w:rFonts w:asciiTheme="majorHAnsi" w:hAnsiTheme="majorHAnsi" w:cstheme="majorHAnsi"/>
        </w:rPr>
        <w:t>.</w:t>
      </w:r>
    </w:p>
  </w:footnote>
  <w:footnote w:id="3">
    <w:p w14:paraId="542CA473" w14:textId="4E04FD6E" w:rsidR="007E5FB2" w:rsidRPr="00E60BD1" w:rsidRDefault="007E5FB2">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w:t>
      </w:r>
      <w:r w:rsidRPr="00E60BD1">
        <w:rPr>
          <w:rFonts w:asciiTheme="majorHAnsi" w:hAnsiTheme="majorHAnsi" w:cstheme="majorHAnsi"/>
          <w:color w:val="000000"/>
        </w:rPr>
        <w:t>Teisės aktų nuostatos turi užtikrinti ir negali paneigti Konstitucijoje, Europos Sąjungos teisės aktuose, Lietuvos Respublikos tarptautinėse sutartyse, Lietuvos Respublikos įstatymuose ir kituose teisės aktuose nustatytų asmens teisių ir laisvių, teisėtų interesų</w:t>
      </w:r>
      <w:r w:rsidR="003F6C47">
        <w:rPr>
          <w:rFonts w:asciiTheme="majorHAnsi" w:hAnsiTheme="majorHAnsi" w:cstheme="majorHAnsi"/>
          <w:color w:val="000000"/>
        </w:rPr>
        <w:t>.</w:t>
      </w:r>
    </w:p>
  </w:footnote>
  <w:footnote w:id="4">
    <w:p w14:paraId="3E74C857" w14:textId="516E4C38" w:rsidR="007E5FB2" w:rsidRPr="00E60BD1" w:rsidRDefault="007E5FB2">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w:t>
      </w:r>
      <w:r w:rsidR="003213B1" w:rsidRPr="00E60BD1">
        <w:rPr>
          <w:rFonts w:asciiTheme="majorHAnsi" w:hAnsiTheme="majorHAnsi" w:cstheme="majorHAnsi"/>
          <w:color w:val="000000"/>
        </w:rPr>
        <w:t>Ant cigarečių ir suktinių tabako vienetinių pakelių ir jų išorinių pakuočių elementų neturi būti jokių elementų ar požymių, kurie atkartoja arba kitaip nusako prekių ženklo logotipą (simbolį), išskyrus Lietuvos Respublikos Vyriausybės ar jos įgaliotos institucijos nustatyta tvarka nurodytą įmonės ar prekių ženklo pavadinimą ir prekės pavadinimą.</w:t>
      </w:r>
    </w:p>
  </w:footnote>
  <w:footnote w:id="5">
    <w:p w14:paraId="177AD065" w14:textId="5E84809D" w:rsidR="00305F79" w:rsidRPr="00E60BD1" w:rsidRDefault="00305F79">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w:t>
      </w:r>
      <w:r w:rsidRPr="00E60BD1">
        <w:rPr>
          <w:rFonts w:asciiTheme="majorHAnsi" w:hAnsiTheme="majorHAnsi" w:cstheme="majorHAnsi"/>
          <w:color w:val="000000"/>
        </w:rPr>
        <w:t>Rengiant teisės akto projektą turi būti įvertinamos visos galimos teisinio reguliavimo alternatyvos ir pasirenkama geriausia iš jų, teisės akte turi būti įtvirtinamos veiksmingiausiai ir ekonomiškiausiai teisinio reguliavimo tikslą leisiančios pasiekti priemonės, turi būti skelbiami ir įvertinami dėl teisinio reguliavimo gauti pasiūlymai, o teisėkūros veiksmai atliekami per protingus terminus</w:t>
      </w:r>
      <w:r w:rsidR="00591B24">
        <w:rPr>
          <w:rFonts w:asciiTheme="majorHAnsi" w:hAnsiTheme="majorHAnsi" w:cstheme="majorHAnsi"/>
          <w:color w:val="000000"/>
        </w:rPr>
        <w:t>.</w:t>
      </w:r>
    </w:p>
  </w:footnote>
  <w:footnote w:id="6">
    <w:p w14:paraId="7E80140F" w14:textId="678E9990" w:rsidR="00524E52" w:rsidRPr="00E60BD1" w:rsidRDefault="00524E52" w:rsidP="00524E52">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w:t>
      </w:r>
      <w:r w:rsidR="003A73FB" w:rsidRPr="00E60BD1">
        <w:rPr>
          <w:rFonts w:asciiTheme="majorHAnsi" w:hAnsiTheme="majorHAnsi" w:cstheme="majorHAnsi"/>
          <w:color w:val="000000"/>
        </w:rPr>
        <w:t>Bendrinės pakuotės reguliavimas neįvestas, nes jis prieštarautų Švedijos Konstituticijai</w:t>
      </w:r>
      <w:r w:rsidR="001C5880" w:rsidRPr="00E60BD1">
        <w:rPr>
          <w:rFonts w:asciiTheme="majorHAnsi" w:hAnsiTheme="majorHAnsi" w:cstheme="majorHAnsi"/>
          <w:color w:val="000000"/>
        </w:rPr>
        <w:t xml:space="preserve"> (</w:t>
      </w:r>
      <w:r w:rsidR="003A73FB" w:rsidRPr="00E60BD1">
        <w:rPr>
          <w:rFonts w:asciiTheme="majorHAnsi" w:hAnsiTheme="majorHAnsi" w:cstheme="majorHAnsi"/>
          <w:color w:val="000000"/>
        </w:rPr>
        <w:t>dėl žodžio laisvės ribojimo)</w:t>
      </w:r>
      <w:r w:rsidR="00591B24">
        <w:rPr>
          <w:rFonts w:asciiTheme="majorHAnsi" w:hAnsiTheme="majorHAnsi" w:cstheme="majorHAnsi"/>
          <w:color w:val="000000"/>
        </w:rPr>
        <w:t>.</w:t>
      </w:r>
      <w:r w:rsidRPr="00E60BD1">
        <w:rPr>
          <w:rFonts w:asciiTheme="majorHAnsi" w:hAnsiTheme="majorHAnsi" w:cstheme="majorHAnsi"/>
          <w:color w:val="000000"/>
        </w:rPr>
        <w:t xml:space="preserve"> </w:t>
      </w:r>
      <w:hyperlink r:id="rId2" w:history="1">
        <w:r w:rsidRPr="00E60BD1">
          <w:rPr>
            <w:rStyle w:val="Hyperlink"/>
            <w:rFonts w:asciiTheme="majorHAnsi" w:hAnsiTheme="majorHAnsi" w:cstheme="majorHAnsi"/>
          </w:rPr>
          <w:t>https://www.linkedin.com/pulse/tobacco-plain-packaging-sweden-lena-seratelius</w:t>
        </w:r>
      </w:hyperlink>
    </w:p>
    <w:p w14:paraId="17602C04" w14:textId="06948842" w:rsidR="003A73FB" w:rsidRPr="00E60BD1" w:rsidRDefault="00CB0ABE" w:rsidP="00524E52">
      <w:pPr>
        <w:pStyle w:val="FootnoteText"/>
        <w:rPr>
          <w:rFonts w:asciiTheme="majorHAnsi" w:hAnsiTheme="majorHAnsi" w:cstheme="majorHAnsi"/>
        </w:rPr>
      </w:pPr>
      <w:hyperlink r:id="rId3" w:history="1">
        <w:r w:rsidR="003A73FB" w:rsidRPr="00E60BD1">
          <w:rPr>
            <w:rStyle w:val="Hyperlink"/>
            <w:rFonts w:asciiTheme="majorHAnsi" w:hAnsiTheme="majorHAnsi" w:cstheme="majorHAnsi"/>
          </w:rPr>
          <w:t>https://www.tobaccofreekids.org/assets/microsites/plainpackaging/International-Developments-Dec-2017-Final_En.pdf</w:t>
        </w:r>
      </w:hyperlink>
    </w:p>
  </w:footnote>
  <w:footnote w:id="7">
    <w:p w14:paraId="00989C7D" w14:textId="49E007B3" w:rsidR="003509BB" w:rsidRPr="00591B24" w:rsidRDefault="003509BB" w:rsidP="003509BB">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w:t>
      </w:r>
      <w:r w:rsidRPr="00E60BD1">
        <w:rPr>
          <w:rFonts w:asciiTheme="majorHAnsi" w:hAnsiTheme="majorHAnsi" w:cstheme="majorHAnsi"/>
          <w:color w:val="000000"/>
        </w:rPr>
        <w:t>Danijos Sveikatos apsaugos ministr</w:t>
      </w:r>
      <w:r w:rsidR="001C5880" w:rsidRPr="00E60BD1">
        <w:rPr>
          <w:rFonts w:asciiTheme="majorHAnsi" w:hAnsiTheme="majorHAnsi" w:cstheme="majorHAnsi"/>
          <w:color w:val="000000"/>
        </w:rPr>
        <w:t>as teigė, kad dabartinės tabako kontrolės priemonės yra pakankamos ir bendrinės pakuotės įvedimas nėra reiklaingas</w:t>
      </w:r>
      <w:r w:rsidR="00591B24">
        <w:rPr>
          <w:rFonts w:asciiTheme="majorHAnsi" w:hAnsiTheme="majorHAnsi" w:cstheme="majorHAnsi"/>
          <w:color w:val="000000"/>
        </w:rPr>
        <w:t>:</w:t>
      </w:r>
      <w:r w:rsidR="001C5880" w:rsidRPr="00E60BD1">
        <w:rPr>
          <w:rFonts w:asciiTheme="majorHAnsi" w:hAnsiTheme="majorHAnsi" w:cstheme="majorHAnsi"/>
          <w:color w:val="000000"/>
        </w:rPr>
        <w:t xml:space="preserve"> </w:t>
      </w:r>
      <w:hyperlink r:id="rId4" w:history="1">
        <w:r w:rsidRPr="00E60BD1">
          <w:rPr>
            <w:rStyle w:val="Hyperlink"/>
            <w:rFonts w:asciiTheme="majorHAnsi" w:hAnsiTheme="majorHAnsi" w:cstheme="majorHAnsi"/>
          </w:rPr>
          <w:t>http://www.tobaccoasia.com/features/packaging-not-any-plainer/</w:t>
        </w:r>
      </w:hyperlink>
      <w:r w:rsidR="00591B24">
        <w:rPr>
          <w:rStyle w:val="Hyperlink"/>
          <w:rFonts w:asciiTheme="majorHAnsi" w:hAnsiTheme="majorHAnsi" w:cstheme="majorHAnsi"/>
          <w:color w:val="auto"/>
          <w:u w:val="none"/>
        </w:rPr>
        <w:t>.</w:t>
      </w:r>
    </w:p>
  </w:footnote>
  <w:footnote w:id="8">
    <w:p w14:paraId="1E895E0F" w14:textId="646F2BFA" w:rsidR="003509BB" w:rsidRPr="00E60BD1" w:rsidRDefault="003509BB" w:rsidP="003509BB">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w:t>
      </w:r>
      <w:r w:rsidR="00556EF9">
        <w:rPr>
          <w:rFonts w:asciiTheme="majorHAnsi" w:hAnsiTheme="majorHAnsi" w:cstheme="majorHAnsi"/>
          <w:color w:val="000000"/>
        </w:rPr>
        <w:t>Šveicarijos V</w:t>
      </w:r>
      <w:r w:rsidRPr="00E60BD1">
        <w:rPr>
          <w:rFonts w:asciiTheme="majorHAnsi" w:hAnsiTheme="majorHAnsi" w:cstheme="majorHAnsi"/>
          <w:color w:val="000000"/>
        </w:rPr>
        <w:t>yriausybė pasiūlymą įvesti prekės ženklų cenzūrą tabako gaminiams rekomendavo atmesti</w:t>
      </w:r>
      <w:r w:rsidR="00077E96">
        <w:rPr>
          <w:rFonts w:asciiTheme="majorHAnsi" w:hAnsiTheme="majorHAnsi" w:cstheme="majorHAnsi"/>
          <w:color w:val="000000"/>
        </w:rPr>
        <w:t>:</w:t>
      </w:r>
      <w:r w:rsidRPr="00E60BD1">
        <w:rPr>
          <w:rFonts w:asciiTheme="majorHAnsi" w:hAnsiTheme="majorHAnsi" w:cstheme="majorHAnsi"/>
          <w:color w:val="000000"/>
        </w:rPr>
        <w:t xml:space="preserve"> </w:t>
      </w:r>
      <w:hyperlink r:id="rId5" w:history="1">
        <w:r w:rsidRPr="00E60BD1">
          <w:rPr>
            <w:rStyle w:val="Hyperlink"/>
            <w:rFonts w:asciiTheme="majorHAnsi" w:hAnsiTheme="majorHAnsi" w:cstheme="majorHAnsi"/>
          </w:rPr>
          <w:t>https://www.lematin.ch/suisse/Le-Conseil-federal-s-oppose-aux-paquets-de-cigarettes-neutres/story/31905395</w:t>
        </w:r>
      </w:hyperlink>
      <w:r w:rsidR="003E66F1" w:rsidRPr="00E60BD1">
        <w:rPr>
          <w:rFonts w:asciiTheme="majorHAnsi" w:hAnsiTheme="majorHAnsi" w:cstheme="majorHAnsi"/>
        </w:rPr>
        <w:t xml:space="preserve">; </w:t>
      </w:r>
      <w:hyperlink r:id="rId6" w:history="1">
        <w:r w:rsidR="00C51DAA" w:rsidRPr="00E60BD1">
          <w:rPr>
            <w:rStyle w:val="Hyperlink"/>
            <w:rFonts w:asciiTheme="majorHAnsi" w:hAnsiTheme="majorHAnsi" w:cstheme="majorHAnsi"/>
          </w:rPr>
          <w:t>https://www.tobaccoasia.com/features/packaging-not-any-plainer/</w:t>
        </w:r>
      </w:hyperlink>
      <w:r w:rsidR="003E66F1" w:rsidRPr="00E60BD1">
        <w:rPr>
          <w:rFonts w:asciiTheme="majorHAnsi" w:hAnsiTheme="majorHAnsi" w:cstheme="majorHAnsi"/>
          <w:color w:val="000000"/>
        </w:rPr>
        <w:t xml:space="preserve">  </w:t>
      </w:r>
    </w:p>
  </w:footnote>
  <w:footnote w:id="9">
    <w:p w14:paraId="4549F494" w14:textId="77777777" w:rsidR="00C45B35" w:rsidRPr="00E60BD1" w:rsidRDefault="00C45B35" w:rsidP="00C45B35">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Reguliavimas atmestas, nes nutarta įvertinti Australijos patirtį</w:t>
      </w:r>
      <w:r>
        <w:rPr>
          <w:rFonts w:asciiTheme="majorHAnsi" w:hAnsiTheme="majorHAnsi" w:cstheme="majorHAnsi"/>
        </w:rPr>
        <w:t>:</w:t>
      </w:r>
      <w:r w:rsidRPr="00E60BD1">
        <w:rPr>
          <w:rFonts w:asciiTheme="majorHAnsi" w:hAnsiTheme="majorHAnsi" w:cstheme="majorHAnsi"/>
        </w:rPr>
        <w:t xml:space="preserve"> </w:t>
      </w:r>
      <w:hyperlink r:id="rId7" w:history="1">
        <w:r w:rsidRPr="00E60BD1">
          <w:rPr>
            <w:rStyle w:val="Hyperlink"/>
            <w:rFonts w:asciiTheme="majorHAnsi" w:hAnsiTheme="majorHAnsi" w:cstheme="majorHAnsi"/>
          </w:rPr>
          <w:t>http://www.levif.be/actualite/belgique/les-partis-de-la-majorite-rejettent-le-paquet-de-cigarettes-neutre/article-normal-373219.html</w:t>
        </w:r>
      </w:hyperlink>
      <w:r>
        <w:rPr>
          <w:rFonts w:asciiTheme="majorHAnsi" w:hAnsiTheme="majorHAnsi" w:cstheme="majorHAnsi"/>
        </w:rPr>
        <w:t>.</w:t>
      </w:r>
    </w:p>
  </w:footnote>
  <w:footnote w:id="10">
    <w:p w14:paraId="712387CC" w14:textId="77777777" w:rsidR="00C45B35" w:rsidRDefault="00C45B35" w:rsidP="00C45B35">
      <w:pPr>
        <w:pStyle w:val="FootnoteText"/>
      </w:pPr>
      <w:r>
        <w:rPr>
          <w:rStyle w:val="FootnoteReference"/>
        </w:rPr>
        <w:footnoteRef/>
      </w:r>
      <w:r>
        <w:t xml:space="preserve"> </w:t>
      </w:r>
      <w:hyperlink r:id="rId8" w:history="1">
        <w:r w:rsidRPr="007B64F3">
          <w:rPr>
            <w:rStyle w:val="Hyperlink"/>
          </w:rPr>
          <w:t>https://www.lematin.ch/suisse/Le-Conseil-federal-s-oppose-aux-paquets-de-cigarettes-neutres/story/31905395</w:t>
        </w:r>
      </w:hyperlink>
      <w:r>
        <w:t xml:space="preserve"> </w:t>
      </w:r>
    </w:p>
  </w:footnote>
  <w:footnote w:id="11">
    <w:p w14:paraId="7B1D907F" w14:textId="77777777" w:rsidR="00C45B35" w:rsidRDefault="00C45B35" w:rsidP="00C45B35">
      <w:pPr>
        <w:pStyle w:val="FootnoteText"/>
      </w:pPr>
      <w:r>
        <w:rPr>
          <w:rStyle w:val="FootnoteReference"/>
        </w:rPr>
        <w:footnoteRef/>
      </w:r>
      <w:r>
        <w:t xml:space="preserve"> </w:t>
      </w:r>
      <w:hyperlink r:id="rId9" w:history="1">
        <w:r w:rsidRPr="007B64F3">
          <w:rPr>
            <w:rStyle w:val="Hyperlink"/>
          </w:rPr>
          <w:t>https://www.tobaccoasia.com/features/packaging-not-any-plainer/</w:t>
        </w:r>
      </w:hyperlink>
      <w:r>
        <w:t xml:space="preserve"> </w:t>
      </w:r>
    </w:p>
  </w:footnote>
  <w:footnote w:id="12">
    <w:p w14:paraId="090DE24F" w14:textId="2E723266" w:rsidR="004A2A0C" w:rsidRPr="00E60BD1" w:rsidRDefault="004A2A0C" w:rsidP="004A2A0C">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w:t>
      </w:r>
      <w:hyperlink r:id="rId10" w:history="1">
        <w:r w:rsidRPr="00E60BD1">
          <w:rPr>
            <w:rStyle w:val="Hyperlink"/>
            <w:rFonts w:asciiTheme="majorHAnsi" w:hAnsiTheme="majorHAnsi" w:cstheme="majorHAnsi"/>
            <w:color w:val="1155CC"/>
          </w:rPr>
          <w:t>https://www.tobaccofreekids.org/assets/global/pdfs/en/WL_status_report_en.pdf</w:t>
        </w:r>
      </w:hyperlink>
    </w:p>
  </w:footnote>
  <w:footnote w:id="13">
    <w:p w14:paraId="35A91274" w14:textId="5CE1A711" w:rsidR="00883BEE" w:rsidRDefault="00883BEE">
      <w:pPr>
        <w:pStyle w:val="FootnoteText"/>
      </w:pPr>
      <w:r>
        <w:rPr>
          <w:rStyle w:val="FootnoteReference"/>
        </w:rPr>
        <w:footnoteRef/>
      </w:r>
      <w:r>
        <w:t xml:space="preserve"> </w:t>
      </w:r>
      <w:r>
        <w:rPr>
          <w:rFonts w:ascii="Calibri" w:hAnsi="Calibri" w:cs="Calibri"/>
          <w:color w:val="000000"/>
        </w:rPr>
        <w:t xml:space="preserve">Pasirinktos teisinio reguliavimo priemonės turi sudaryti kuo mažesnę administracinę ir kitokią naštą, nevaržyti teisinių santykių subjektų </w:t>
      </w:r>
      <w:r w:rsidR="00591B24">
        <w:rPr>
          <w:rFonts w:ascii="Calibri" w:hAnsi="Calibri" w:cs="Calibri"/>
          <w:color w:val="000000"/>
        </w:rPr>
        <w:t>labiau</w:t>
      </w:r>
      <w:r>
        <w:rPr>
          <w:rFonts w:ascii="Calibri" w:hAnsi="Calibri" w:cs="Calibri"/>
          <w:color w:val="000000"/>
        </w:rPr>
        <w:t>, ne</w:t>
      </w:r>
      <w:r w:rsidR="00591B24">
        <w:rPr>
          <w:rFonts w:ascii="Calibri" w:hAnsi="Calibri" w:cs="Calibri"/>
          <w:color w:val="000000"/>
        </w:rPr>
        <w:t>i</w:t>
      </w:r>
      <w:r>
        <w:rPr>
          <w:rFonts w:ascii="Calibri" w:hAnsi="Calibri" w:cs="Calibri"/>
          <w:color w:val="000000"/>
        </w:rPr>
        <w:t xml:space="preserve"> to reikia teisinio reguliavimo tikslams pasiekti</w:t>
      </w:r>
      <w:r w:rsidR="00591B24">
        <w:rPr>
          <w:rFonts w:ascii="Calibri" w:hAnsi="Calibri" w:cs="Calibri"/>
          <w:color w:val="000000"/>
        </w:rPr>
        <w:t>.</w:t>
      </w:r>
    </w:p>
  </w:footnote>
  <w:footnote w:id="14">
    <w:p w14:paraId="4D82411E" w14:textId="1D4A8C75" w:rsidR="00152AFE" w:rsidRPr="00E60BD1" w:rsidRDefault="00152AFE" w:rsidP="00152AFE">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Pardavimas tiesiogiai neprieinamu būdu</w:t>
      </w:r>
      <w:r w:rsidR="004C3E34">
        <w:rPr>
          <w:rFonts w:asciiTheme="majorHAnsi" w:hAnsiTheme="majorHAnsi" w:cstheme="majorHAnsi"/>
        </w:rPr>
        <w:t>.</w:t>
      </w:r>
    </w:p>
  </w:footnote>
  <w:footnote w:id="15">
    <w:p w14:paraId="0320E7A8" w14:textId="77777777" w:rsidR="00F02F53" w:rsidRPr="00E60BD1" w:rsidRDefault="00F02F53" w:rsidP="00F02F53">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Užkertamas kelias į Lietuvą ateiti 1) kitiems tabako ir susijusių gaminių gamintojams, 2) sveikesniems (mažesnę žalą sveikatai darantiems) tabako ir susijusiems gaminiams</w:t>
      </w:r>
      <w:r>
        <w:rPr>
          <w:rFonts w:asciiTheme="majorHAnsi" w:hAnsiTheme="majorHAnsi" w:cstheme="majorHAnsi"/>
        </w:rPr>
        <w:t>.</w:t>
      </w:r>
    </w:p>
  </w:footnote>
  <w:footnote w:id="16">
    <w:p w14:paraId="1B3397D0" w14:textId="67709575" w:rsidR="00BC7861" w:rsidRPr="00E60BD1" w:rsidRDefault="00BC7861" w:rsidP="005A5426">
      <w:pPr>
        <w:pStyle w:val="FootnoteText"/>
        <w:rPr>
          <w:rFonts w:asciiTheme="majorHAnsi" w:hAnsiTheme="majorHAnsi" w:cstheme="majorHAnsi"/>
        </w:rPr>
      </w:pPr>
      <w:r w:rsidRPr="00E60BD1">
        <w:rPr>
          <w:rStyle w:val="FootnoteReference"/>
          <w:rFonts w:asciiTheme="majorHAnsi" w:hAnsiTheme="majorHAnsi" w:cstheme="majorHAnsi"/>
        </w:rPr>
        <w:footnoteRef/>
      </w:r>
      <w:r w:rsidRPr="00E60BD1">
        <w:rPr>
          <w:rFonts w:asciiTheme="majorHAnsi" w:hAnsiTheme="majorHAnsi" w:cstheme="majorHAnsi"/>
        </w:rPr>
        <w:t xml:space="preserve"> Visų rūšių viešajame transporte, daugiabučių namų bendrojo naudojimo balkonuose, terasose, galerijose, dengtose viešojo transporto stotelių vietose (paviljonuose), paplūdimiuose, vaikų žaidimo aikštelėse</w:t>
      </w:r>
      <w:r w:rsidR="0054176C">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7E44" w14:textId="77777777" w:rsidR="00BC7861" w:rsidRDefault="00BC7861">
    <w:pPr>
      <w:tabs>
        <w:tab w:val="center" w:pos="4819"/>
        <w:tab w:val="right" w:pos="9638"/>
      </w:tabs>
      <w:spacing w:after="0" w:line="240" w:lineRule="auto"/>
    </w:pPr>
    <w:r>
      <w:rPr>
        <w:noProof/>
      </w:rPr>
      <w:drawing>
        <wp:anchor distT="0" distB="0" distL="114300" distR="114300" simplePos="0" relativeHeight="251658240" behindDoc="0" locked="0" layoutInCell="1" hidden="0" allowOverlap="1" wp14:anchorId="1E4BED11" wp14:editId="61D269F5">
          <wp:simplePos x="0" y="0"/>
          <wp:positionH relativeFrom="margin">
            <wp:posOffset>0</wp:posOffset>
          </wp:positionH>
          <wp:positionV relativeFrom="paragraph">
            <wp:posOffset>-142874</wp:posOffset>
          </wp:positionV>
          <wp:extent cx="942975" cy="716280"/>
          <wp:effectExtent l="0" t="0" r="0" b="0"/>
          <wp:wrapNone/>
          <wp:docPr id="1" name="image2.png" descr="M:\Renginiai\2015 m. renginiai\Free Market Road Show 2015\Logotipai\jubiliejinis logo.png"/>
          <wp:cNvGraphicFramePr/>
          <a:graphic xmlns:a="http://schemas.openxmlformats.org/drawingml/2006/main">
            <a:graphicData uri="http://schemas.openxmlformats.org/drawingml/2006/picture">
              <pic:pic xmlns:pic="http://schemas.openxmlformats.org/drawingml/2006/picture">
                <pic:nvPicPr>
                  <pic:cNvPr id="0" name="image2.png" descr="M:\Renginiai\2015 m. renginiai\Free Market Road Show 2015\Logotipai\jubiliejinis logo.png"/>
                  <pic:cNvPicPr preferRelativeResize="0"/>
                </pic:nvPicPr>
                <pic:blipFill>
                  <a:blip r:embed="rId1"/>
                  <a:srcRect/>
                  <a:stretch>
                    <a:fillRect/>
                  </a:stretch>
                </pic:blipFill>
                <pic:spPr>
                  <a:xfrm>
                    <a:off x="0" y="0"/>
                    <a:ext cx="942975" cy="716280"/>
                  </a:xfrm>
                  <a:prstGeom prst="rect">
                    <a:avLst/>
                  </a:prstGeom>
                  <a:ln/>
                </pic:spPr>
              </pic:pic>
            </a:graphicData>
          </a:graphic>
        </wp:anchor>
      </w:drawing>
    </w:r>
  </w:p>
  <w:p w14:paraId="0CDCBC3D" w14:textId="77777777" w:rsidR="00BC7861" w:rsidRDefault="00BC7861">
    <w:pPr>
      <w:tabs>
        <w:tab w:val="center" w:pos="4819"/>
        <w:tab w:val="right" w:pos="9638"/>
      </w:tabs>
      <w:spacing w:after="0" w:line="240" w:lineRule="auto"/>
      <w:jc w:val="right"/>
      <w:rPr>
        <w:i/>
        <w:sz w:val="20"/>
        <w:szCs w:val="20"/>
        <w:u w:val="single"/>
      </w:rPr>
    </w:pPr>
  </w:p>
  <w:p w14:paraId="0B2E3938" w14:textId="77777777" w:rsidR="00BC7861" w:rsidRDefault="00BC7861">
    <w:pPr>
      <w:tabs>
        <w:tab w:val="center" w:pos="4819"/>
        <w:tab w:val="right" w:pos="9638"/>
      </w:tabs>
      <w:spacing w:after="0" w:line="240" w:lineRule="auto"/>
      <w:jc w:val="right"/>
      <w:rPr>
        <w:i/>
        <w:sz w:val="20"/>
        <w:szCs w:val="20"/>
        <w:u w:val="single"/>
      </w:rPr>
    </w:pPr>
  </w:p>
  <w:p w14:paraId="0755D0A5" w14:textId="2A236B0B" w:rsidR="00BC7861" w:rsidRDefault="00BC7861">
    <w:pPr>
      <w:tabs>
        <w:tab w:val="center" w:pos="4819"/>
        <w:tab w:val="right" w:pos="9638"/>
      </w:tabs>
      <w:spacing w:after="0" w:line="240" w:lineRule="auto"/>
      <w:jc w:val="right"/>
    </w:pPr>
    <w:r>
      <w:rPr>
        <w:i/>
        <w:sz w:val="20"/>
        <w:szCs w:val="20"/>
        <w:u w:val="single"/>
      </w:rPr>
      <w:t>Lietuvos laisvosios</w:t>
    </w:r>
    <w:r w:rsidR="00F377A6">
      <w:rPr>
        <w:i/>
        <w:sz w:val="20"/>
        <w:szCs w:val="20"/>
        <w:u w:val="single"/>
      </w:rPr>
      <w:t xml:space="preserve"> rinkos institutas  | 2018-09-05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C77"/>
    <w:multiLevelType w:val="multilevel"/>
    <w:tmpl w:val="C986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A4746"/>
    <w:multiLevelType w:val="multilevel"/>
    <w:tmpl w:val="3DF2B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B6051"/>
    <w:multiLevelType w:val="multilevel"/>
    <w:tmpl w:val="8998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3087F"/>
    <w:multiLevelType w:val="multilevel"/>
    <w:tmpl w:val="1BB41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44489"/>
    <w:multiLevelType w:val="hybridMultilevel"/>
    <w:tmpl w:val="F3DA83F2"/>
    <w:lvl w:ilvl="0" w:tplc="BE9277E4">
      <w:start w:val="1"/>
      <w:numFmt w:val="decimal"/>
      <w:lvlText w:val="%1."/>
      <w:lvlJc w:val="left"/>
      <w:pPr>
        <w:ind w:left="1069"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3E5B17"/>
    <w:multiLevelType w:val="multilevel"/>
    <w:tmpl w:val="7576A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904EC8"/>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792120"/>
    <w:multiLevelType w:val="multilevel"/>
    <w:tmpl w:val="E500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04E67"/>
    <w:multiLevelType w:val="hybridMultilevel"/>
    <w:tmpl w:val="F4B2F2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9C7925"/>
    <w:multiLevelType w:val="hybridMultilevel"/>
    <w:tmpl w:val="18DAE2D4"/>
    <w:lvl w:ilvl="0" w:tplc="88F819C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E158B3"/>
    <w:multiLevelType w:val="multilevel"/>
    <w:tmpl w:val="0B3A0B30"/>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ascii="Calibri" w:hAnsi="Calibri" w:cs="Calibr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65167C"/>
    <w:multiLevelType w:val="hybridMultilevel"/>
    <w:tmpl w:val="8384FC4E"/>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1F208B1"/>
    <w:multiLevelType w:val="hybridMultilevel"/>
    <w:tmpl w:val="AB28A4BA"/>
    <w:lvl w:ilvl="0" w:tplc="E14CC3B0">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45502C3"/>
    <w:multiLevelType w:val="hybridMultilevel"/>
    <w:tmpl w:val="810885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94D3A5E"/>
    <w:multiLevelType w:val="multilevel"/>
    <w:tmpl w:val="38ACA4F6"/>
    <w:lvl w:ilvl="0">
      <w:start w:val="4"/>
      <w:numFmt w:val="decimal"/>
      <w:lvlText w:val="%1."/>
      <w:lvlJc w:val="left"/>
      <w:pPr>
        <w:ind w:left="360" w:hanging="360"/>
      </w:pPr>
      <w:rPr>
        <w:rFonts w:ascii="Calibri" w:hAnsi="Calibri" w:cs="Calibri" w:hint="default"/>
        <w:b/>
        <w:color w:val="000000"/>
        <w:sz w:val="22"/>
      </w:rPr>
    </w:lvl>
    <w:lvl w:ilvl="1">
      <w:start w:val="1"/>
      <w:numFmt w:val="decimal"/>
      <w:lvlText w:val="%1.%2."/>
      <w:lvlJc w:val="left"/>
      <w:pPr>
        <w:ind w:left="1080" w:hanging="360"/>
      </w:pPr>
      <w:rPr>
        <w:rFonts w:ascii="Calibri" w:hAnsi="Calibri" w:cs="Calibri" w:hint="default"/>
        <w:b/>
        <w:color w:val="000000"/>
        <w:sz w:val="22"/>
      </w:rPr>
    </w:lvl>
    <w:lvl w:ilvl="2">
      <w:start w:val="1"/>
      <w:numFmt w:val="decimal"/>
      <w:lvlText w:val="%1.%2.%3."/>
      <w:lvlJc w:val="left"/>
      <w:pPr>
        <w:ind w:left="2160" w:hanging="720"/>
      </w:pPr>
      <w:rPr>
        <w:rFonts w:ascii="Calibri" w:hAnsi="Calibri" w:cs="Calibri" w:hint="default"/>
        <w:color w:val="000000"/>
        <w:sz w:val="22"/>
      </w:rPr>
    </w:lvl>
    <w:lvl w:ilvl="3">
      <w:start w:val="1"/>
      <w:numFmt w:val="decimal"/>
      <w:lvlText w:val="%1.%2.%3.%4."/>
      <w:lvlJc w:val="left"/>
      <w:pPr>
        <w:ind w:left="2880" w:hanging="720"/>
      </w:pPr>
      <w:rPr>
        <w:rFonts w:ascii="Calibri" w:hAnsi="Calibri" w:cs="Calibri" w:hint="default"/>
        <w:color w:val="000000"/>
        <w:sz w:val="22"/>
      </w:rPr>
    </w:lvl>
    <w:lvl w:ilvl="4">
      <w:start w:val="1"/>
      <w:numFmt w:val="decimal"/>
      <w:lvlText w:val="%1.%2.%3.%4.%5."/>
      <w:lvlJc w:val="left"/>
      <w:pPr>
        <w:ind w:left="3960" w:hanging="1080"/>
      </w:pPr>
      <w:rPr>
        <w:rFonts w:ascii="Calibri" w:hAnsi="Calibri" w:cs="Calibri" w:hint="default"/>
        <w:color w:val="000000"/>
        <w:sz w:val="22"/>
      </w:rPr>
    </w:lvl>
    <w:lvl w:ilvl="5">
      <w:start w:val="1"/>
      <w:numFmt w:val="decimal"/>
      <w:lvlText w:val="%1.%2.%3.%4.%5.%6."/>
      <w:lvlJc w:val="left"/>
      <w:pPr>
        <w:ind w:left="4680" w:hanging="1080"/>
      </w:pPr>
      <w:rPr>
        <w:rFonts w:ascii="Calibri" w:hAnsi="Calibri" w:cs="Calibri" w:hint="default"/>
        <w:color w:val="000000"/>
        <w:sz w:val="22"/>
      </w:rPr>
    </w:lvl>
    <w:lvl w:ilvl="6">
      <w:start w:val="1"/>
      <w:numFmt w:val="decimal"/>
      <w:lvlText w:val="%1.%2.%3.%4.%5.%6.%7."/>
      <w:lvlJc w:val="left"/>
      <w:pPr>
        <w:ind w:left="5760" w:hanging="1440"/>
      </w:pPr>
      <w:rPr>
        <w:rFonts w:ascii="Calibri" w:hAnsi="Calibri" w:cs="Calibri" w:hint="default"/>
        <w:color w:val="000000"/>
        <w:sz w:val="22"/>
      </w:rPr>
    </w:lvl>
    <w:lvl w:ilvl="7">
      <w:start w:val="1"/>
      <w:numFmt w:val="decimal"/>
      <w:lvlText w:val="%1.%2.%3.%4.%5.%6.%7.%8."/>
      <w:lvlJc w:val="left"/>
      <w:pPr>
        <w:ind w:left="6480" w:hanging="1440"/>
      </w:pPr>
      <w:rPr>
        <w:rFonts w:ascii="Calibri" w:hAnsi="Calibri" w:cs="Calibri" w:hint="default"/>
        <w:color w:val="000000"/>
        <w:sz w:val="22"/>
      </w:rPr>
    </w:lvl>
    <w:lvl w:ilvl="8">
      <w:start w:val="1"/>
      <w:numFmt w:val="decimal"/>
      <w:lvlText w:val="%1.%2.%3.%4.%5.%6.%7.%8.%9."/>
      <w:lvlJc w:val="left"/>
      <w:pPr>
        <w:ind w:left="7560" w:hanging="1800"/>
      </w:pPr>
      <w:rPr>
        <w:rFonts w:ascii="Calibri" w:hAnsi="Calibri" w:cs="Calibri" w:hint="default"/>
        <w:color w:val="000000"/>
        <w:sz w:val="22"/>
      </w:rPr>
    </w:lvl>
  </w:abstractNum>
  <w:abstractNum w:abstractNumId="15" w15:restartNumberingAfterBreak="0">
    <w:nsid w:val="2A390253"/>
    <w:multiLevelType w:val="multilevel"/>
    <w:tmpl w:val="96DACF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BF8005F"/>
    <w:multiLevelType w:val="hybridMultilevel"/>
    <w:tmpl w:val="1FB02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F606F1"/>
    <w:multiLevelType w:val="hybridMultilevel"/>
    <w:tmpl w:val="0C403DD8"/>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1D734EE"/>
    <w:multiLevelType w:val="multilevel"/>
    <w:tmpl w:val="81460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867BC5"/>
    <w:multiLevelType w:val="multilevel"/>
    <w:tmpl w:val="17C8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305EF3"/>
    <w:multiLevelType w:val="multilevel"/>
    <w:tmpl w:val="C888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77635B"/>
    <w:multiLevelType w:val="multilevel"/>
    <w:tmpl w:val="D8722B0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64D6F3E"/>
    <w:multiLevelType w:val="multilevel"/>
    <w:tmpl w:val="7AF449E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3B196C0C"/>
    <w:multiLevelType w:val="multilevel"/>
    <w:tmpl w:val="91ECB22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DB46C8B"/>
    <w:multiLevelType w:val="multilevel"/>
    <w:tmpl w:val="CBCA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5B3102"/>
    <w:multiLevelType w:val="hybridMultilevel"/>
    <w:tmpl w:val="CE38F7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A7E02BB"/>
    <w:multiLevelType w:val="multilevel"/>
    <w:tmpl w:val="C6065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C921CF"/>
    <w:multiLevelType w:val="hybridMultilevel"/>
    <w:tmpl w:val="54BE988E"/>
    <w:lvl w:ilvl="0" w:tplc="0B643828">
      <w:start w:val="1"/>
      <w:numFmt w:val="decimal"/>
      <w:lvlText w:val="%1."/>
      <w:lvlJc w:val="left"/>
      <w:pPr>
        <w:ind w:left="720" w:hanging="360"/>
      </w:pPr>
      <w:rPr>
        <w:rFonts w:asciiTheme="majorHAnsi" w:eastAsia="Calibri" w:hAnsiTheme="majorHAnsi" w:cstheme="majorHAnsi"/>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3F11166"/>
    <w:multiLevelType w:val="hybridMultilevel"/>
    <w:tmpl w:val="3C1A395A"/>
    <w:lvl w:ilvl="0" w:tplc="C060B1A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82E2DAD"/>
    <w:multiLevelType w:val="hybridMultilevel"/>
    <w:tmpl w:val="FAEAAA1C"/>
    <w:lvl w:ilvl="0" w:tplc="126AD8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5E291AD7"/>
    <w:multiLevelType w:val="multilevel"/>
    <w:tmpl w:val="3A9A9286"/>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Calibri" w:hAnsi="Calibri" w:cs="Calibr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CA0BD9"/>
    <w:multiLevelType w:val="multilevel"/>
    <w:tmpl w:val="4FE6B5DA"/>
    <w:lvl w:ilvl="0">
      <w:start w:val="1"/>
      <w:numFmt w:val="decimal"/>
      <w:lvlText w:val="%1."/>
      <w:lvlJc w:val="left"/>
      <w:pPr>
        <w:ind w:left="1080" w:hanging="360"/>
      </w:pPr>
      <w:rPr>
        <w:rFonts w:eastAsia="Times New Roman" w:hint="default"/>
        <w:b w:val="0"/>
      </w:rPr>
    </w:lvl>
    <w:lvl w:ilvl="1">
      <w:start w:val="1"/>
      <w:numFmt w:val="decimal"/>
      <w:isLgl/>
      <w:lvlText w:val="%1.%2."/>
      <w:lvlJc w:val="left"/>
      <w:pPr>
        <w:ind w:left="1440" w:hanging="360"/>
      </w:pPr>
      <w:rPr>
        <w:rFonts w:hint="default"/>
        <w:b w:val="0"/>
        <w:color w:val="000000"/>
        <w:sz w:val="22"/>
      </w:rPr>
    </w:lvl>
    <w:lvl w:ilvl="2">
      <w:start w:val="1"/>
      <w:numFmt w:val="decimal"/>
      <w:isLgl/>
      <w:lvlText w:val="%1.%2.%3."/>
      <w:lvlJc w:val="left"/>
      <w:pPr>
        <w:ind w:left="2160" w:hanging="720"/>
      </w:pPr>
      <w:rPr>
        <w:rFonts w:hint="default"/>
        <w:color w:val="000000"/>
        <w:sz w:val="22"/>
      </w:rPr>
    </w:lvl>
    <w:lvl w:ilvl="3">
      <w:start w:val="1"/>
      <w:numFmt w:val="decimal"/>
      <w:isLgl/>
      <w:lvlText w:val="%1.%2.%3.%4."/>
      <w:lvlJc w:val="left"/>
      <w:pPr>
        <w:ind w:left="2520" w:hanging="720"/>
      </w:pPr>
      <w:rPr>
        <w:rFonts w:hint="default"/>
        <w:color w:val="000000"/>
        <w:sz w:val="22"/>
      </w:rPr>
    </w:lvl>
    <w:lvl w:ilvl="4">
      <w:start w:val="1"/>
      <w:numFmt w:val="decimal"/>
      <w:isLgl/>
      <w:lvlText w:val="%1.%2.%3.%4.%5."/>
      <w:lvlJc w:val="left"/>
      <w:pPr>
        <w:ind w:left="3240" w:hanging="1080"/>
      </w:pPr>
      <w:rPr>
        <w:rFonts w:hint="default"/>
        <w:color w:val="000000"/>
        <w:sz w:val="22"/>
      </w:rPr>
    </w:lvl>
    <w:lvl w:ilvl="5">
      <w:start w:val="1"/>
      <w:numFmt w:val="decimal"/>
      <w:isLgl/>
      <w:lvlText w:val="%1.%2.%3.%4.%5.%6."/>
      <w:lvlJc w:val="left"/>
      <w:pPr>
        <w:ind w:left="3600" w:hanging="1080"/>
      </w:pPr>
      <w:rPr>
        <w:rFonts w:hint="default"/>
        <w:color w:val="000000"/>
        <w:sz w:val="22"/>
      </w:rPr>
    </w:lvl>
    <w:lvl w:ilvl="6">
      <w:start w:val="1"/>
      <w:numFmt w:val="decimal"/>
      <w:isLgl/>
      <w:lvlText w:val="%1.%2.%3.%4.%5.%6.%7."/>
      <w:lvlJc w:val="left"/>
      <w:pPr>
        <w:ind w:left="4320" w:hanging="1440"/>
      </w:pPr>
      <w:rPr>
        <w:rFonts w:hint="default"/>
        <w:color w:val="000000"/>
        <w:sz w:val="22"/>
      </w:rPr>
    </w:lvl>
    <w:lvl w:ilvl="7">
      <w:start w:val="1"/>
      <w:numFmt w:val="decimal"/>
      <w:isLgl/>
      <w:lvlText w:val="%1.%2.%3.%4.%5.%6.%7.%8."/>
      <w:lvlJc w:val="left"/>
      <w:pPr>
        <w:ind w:left="4680" w:hanging="1440"/>
      </w:pPr>
      <w:rPr>
        <w:rFonts w:hint="default"/>
        <w:color w:val="000000"/>
        <w:sz w:val="22"/>
      </w:rPr>
    </w:lvl>
    <w:lvl w:ilvl="8">
      <w:start w:val="1"/>
      <w:numFmt w:val="decimal"/>
      <w:isLgl/>
      <w:lvlText w:val="%1.%2.%3.%4.%5.%6.%7.%8.%9."/>
      <w:lvlJc w:val="left"/>
      <w:pPr>
        <w:ind w:left="5400" w:hanging="1800"/>
      </w:pPr>
      <w:rPr>
        <w:rFonts w:hint="default"/>
        <w:color w:val="000000"/>
        <w:sz w:val="22"/>
      </w:rPr>
    </w:lvl>
  </w:abstractNum>
  <w:abstractNum w:abstractNumId="32" w15:restartNumberingAfterBreak="0">
    <w:nsid w:val="600E3926"/>
    <w:multiLevelType w:val="hybridMultilevel"/>
    <w:tmpl w:val="C1B24AB0"/>
    <w:lvl w:ilvl="0" w:tplc="BE9277E4">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6292381C"/>
    <w:multiLevelType w:val="hybridMultilevel"/>
    <w:tmpl w:val="AB1E2D5E"/>
    <w:lvl w:ilvl="0" w:tplc="629A287C">
      <w:start w:val="1"/>
      <w:numFmt w:val="decimal"/>
      <w:lvlText w:val="%1."/>
      <w:lvlJc w:val="left"/>
      <w:pPr>
        <w:ind w:left="720" w:hanging="360"/>
      </w:pPr>
      <w:rPr>
        <w:rFonts w:eastAsia="Calibri"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33C3DAA"/>
    <w:multiLevelType w:val="multilevel"/>
    <w:tmpl w:val="C466EEB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64B119B4"/>
    <w:multiLevelType w:val="hybridMultilevel"/>
    <w:tmpl w:val="7488F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824366"/>
    <w:multiLevelType w:val="hybridMultilevel"/>
    <w:tmpl w:val="E6EC7A0A"/>
    <w:lvl w:ilvl="0" w:tplc="E8A4A05E">
      <w:start w:val="1"/>
      <w:numFmt w:val="decimal"/>
      <w:lvlText w:val="%1."/>
      <w:lvlJc w:val="left"/>
      <w:pPr>
        <w:ind w:left="720" w:hanging="360"/>
      </w:pPr>
      <w:rPr>
        <w:rFonts w:ascii="Calibri" w:hAnsi="Calibri" w:cs="Calibri"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05E0301"/>
    <w:multiLevelType w:val="hybridMultilevel"/>
    <w:tmpl w:val="E8F007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3A1298B"/>
    <w:multiLevelType w:val="multilevel"/>
    <w:tmpl w:val="FCEC6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0056FB"/>
    <w:multiLevelType w:val="hybridMultilevel"/>
    <w:tmpl w:val="3C1A395A"/>
    <w:lvl w:ilvl="0" w:tplc="C060B1A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892398F"/>
    <w:multiLevelType w:val="hybridMultilevel"/>
    <w:tmpl w:val="DFC8A8CC"/>
    <w:lvl w:ilvl="0" w:tplc="353E02D0">
      <w:start w:val="1"/>
      <w:numFmt w:val="decimal"/>
      <w:lvlText w:val="%1."/>
      <w:lvlJc w:val="left"/>
      <w:pPr>
        <w:ind w:left="720" w:hanging="360"/>
      </w:pPr>
      <w:rPr>
        <w:rFonts w:ascii="Calibri" w:eastAsia="Times New Roman" w:hAnsi="Calibri" w:cs="Calibri"/>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ABF537D"/>
    <w:multiLevelType w:val="hybridMultilevel"/>
    <w:tmpl w:val="0F1ABC1E"/>
    <w:lvl w:ilvl="0" w:tplc="C060B1A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E4F7C2E"/>
    <w:multiLevelType w:val="multilevel"/>
    <w:tmpl w:val="7AF449E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0"/>
  </w:num>
  <w:num w:numId="2">
    <w:abstractNumId w:val="38"/>
  </w:num>
  <w:num w:numId="3">
    <w:abstractNumId w:val="1"/>
  </w:num>
  <w:num w:numId="4">
    <w:abstractNumId w:val="26"/>
  </w:num>
  <w:num w:numId="5">
    <w:abstractNumId w:val="18"/>
  </w:num>
  <w:num w:numId="6">
    <w:abstractNumId w:val="13"/>
  </w:num>
  <w:num w:numId="7">
    <w:abstractNumId w:val="15"/>
  </w:num>
  <w:num w:numId="8">
    <w:abstractNumId w:val="42"/>
  </w:num>
  <w:num w:numId="9">
    <w:abstractNumId w:val="40"/>
  </w:num>
  <w:num w:numId="10">
    <w:abstractNumId w:val="39"/>
  </w:num>
  <w:num w:numId="11">
    <w:abstractNumId w:val="8"/>
  </w:num>
  <w:num w:numId="12">
    <w:abstractNumId w:val="25"/>
  </w:num>
  <w:num w:numId="13">
    <w:abstractNumId w:val="37"/>
  </w:num>
  <w:num w:numId="14">
    <w:abstractNumId w:val="28"/>
  </w:num>
  <w:num w:numId="15">
    <w:abstractNumId w:val="22"/>
  </w:num>
  <w:num w:numId="16">
    <w:abstractNumId w:val="9"/>
  </w:num>
  <w:num w:numId="17">
    <w:abstractNumId w:val="41"/>
  </w:num>
  <w:num w:numId="18">
    <w:abstractNumId w:val="17"/>
  </w:num>
  <w:num w:numId="19">
    <w:abstractNumId w:val="6"/>
  </w:num>
  <w:num w:numId="20">
    <w:abstractNumId w:val="32"/>
  </w:num>
  <w:num w:numId="21">
    <w:abstractNumId w:val="4"/>
  </w:num>
  <w:num w:numId="22">
    <w:abstractNumId w:val="11"/>
  </w:num>
  <w:num w:numId="23">
    <w:abstractNumId w:val="27"/>
  </w:num>
  <w:num w:numId="24">
    <w:abstractNumId w:val="2"/>
  </w:num>
  <w:num w:numId="25">
    <w:abstractNumId w:val="14"/>
  </w:num>
  <w:num w:numId="26">
    <w:abstractNumId w:val="24"/>
  </w:num>
  <w:num w:numId="27">
    <w:abstractNumId w:val="7"/>
  </w:num>
  <w:num w:numId="28">
    <w:abstractNumId w:val="12"/>
  </w:num>
  <w:num w:numId="29">
    <w:abstractNumId w:val="5"/>
  </w:num>
  <w:num w:numId="30">
    <w:abstractNumId w:val="35"/>
  </w:num>
  <w:num w:numId="31">
    <w:abstractNumId w:val="30"/>
  </w:num>
  <w:num w:numId="32">
    <w:abstractNumId w:val="19"/>
  </w:num>
  <w:num w:numId="33">
    <w:abstractNumId w:val="3"/>
  </w:num>
  <w:num w:numId="34">
    <w:abstractNumId w:val="0"/>
  </w:num>
  <w:num w:numId="35">
    <w:abstractNumId w:val="29"/>
  </w:num>
  <w:num w:numId="36">
    <w:abstractNumId w:val="16"/>
  </w:num>
  <w:num w:numId="37">
    <w:abstractNumId w:val="10"/>
  </w:num>
  <w:num w:numId="38">
    <w:abstractNumId w:val="31"/>
  </w:num>
  <w:num w:numId="39">
    <w:abstractNumId w:val="36"/>
  </w:num>
  <w:num w:numId="40">
    <w:abstractNumId w:val="33"/>
  </w:num>
  <w:num w:numId="41">
    <w:abstractNumId w:val="21"/>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 Copy&lt;record-ids&gt;&lt;item&gt;2754&lt;/item&gt;&lt;item&gt;2755&lt;/item&gt;&lt;item&gt;2756&lt;/item&gt;&lt;item&gt;2757&lt;/item&gt;&lt;item&gt;2766&lt;/item&gt;&lt;item&gt;2768&lt;/item&gt;&lt;item&gt;2771&lt;/item&gt;&lt;item&gt;2781&lt;/item&gt;&lt;/record-ids&gt;&lt;/item&gt;&lt;/Libraries&gt;"/>
  </w:docVars>
  <w:rsids>
    <w:rsidRoot w:val="00974565"/>
    <w:rsid w:val="000049F8"/>
    <w:rsid w:val="00004C62"/>
    <w:rsid w:val="00007949"/>
    <w:rsid w:val="00010AAC"/>
    <w:rsid w:val="00012507"/>
    <w:rsid w:val="000149DE"/>
    <w:rsid w:val="00014E31"/>
    <w:rsid w:val="00023850"/>
    <w:rsid w:val="00025ACA"/>
    <w:rsid w:val="00027EEA"/>
    <w:rsid w:val="00033860"/>
    <w:rsid w:val="00036648"/>
    <w:rsid w:val="00040E14"/>
    <w:rsid w:val="00043723"/>
    <w:rsid w:val="00051084"/>
    <w:rsid w:val="00065C72"/>
    <w:rsid w:val="000747B0"/>
    <w:rsid w:val="00077E96"/>
    <w:rsid w:val="00082A9C"/>
    <w:rsid w:val="00090D08"/>
    <w:rsid w:val="00091032"/>
    <w:rsid w:val="000A0496"/>
    <w:rsid w:val="000A4CF2"/>
    <w:rsid w:val="000A533C"/>
    <w:rsid w:val="000B44BD"/>
    <w:rsid w:val="000B4EAB"/>
    <w:rsid w:val="000B5666"/>
    <w:rsid w:val="000E30B1"/>
    <w:rsid w:val="000E3584"/>
    <w:rsid w:val="000F160B"/>
    <w:rsid w:val="00105382"/>
    <w:rsid w:val="0011102B"/>
    <w:rsid w:val="00111BFF"/>
    <w:rsid w:val="00112234"/>
    <w:rsid w:val="0011349E"/>
    <w:rsid w:val="00114972"/>
    <w:rsid w:val="00124C65"/>
    <w:rsid w:val="00132D49"/>
    <w:rsid w:val="0014268D"/>
    <w:rsid w:val="00151067"/>
    <w:rsid w:val="00152AFE"/>
    <w:rsid w:val="0015498C"/>
    <w:rsid w:val="0015607E"/>
    <w:rsid w:val="00157B60"/>
    <w:rsid w:val="00163E57"/>
    <w:rsid w:val="001708FA"/>
    <w:rsid w:val="00176FE2"/>
    <w:rsid w:val="00177D52"/>
    <w:rsid w:val="001832D7"/>
    <w:rsid w:val="00186E22"/>
    <w:rsid w:val="001A4C58"/>
    <w:rsid w:val="001B68F6"/>
    <w:rsid w:val="001C5880"/>
    <w:rsid w:val="001F2B76"/>
    <w:rsid w:val="001F4E8C"/>
    <w:rsid w:val="001F7086"/>
    <w:rsid w:val="001F7F3F"/>
    <w:rsid w:val="00201ED1"/>
    <w:rsid w:val="00222832"/>
    <w:rsid w:val="00223254"/>
    <w:rsid w:val="0022757A"/>
    <w:rsid w:val="0023495E"/>
    <w:rsid w:val="00247E88"/>
    <w:rsid w:val="002505BA"/>
    <w:rsid w:val="00256603"/>
    <w:rsid w:val="0026209B"/>
    <w:rsid w:val="002620F6"/>
    <w:rsid w:val="002625AC"/>
    <w:rsid w:val="002A6670"/>
    <w:rsid w:val="002B3E1A"/>
    <w:rsid w:val="002C0222"/>
    <w:rsid w:val="002E49E8"/>
    <w:rsid w:val="002F1466"/>
    <w:rsid w:val="002F221F"/>
    <w:rsid w:val="002F5876"/>
    <w:rsid w:val="00300C01"/>
    <w:rsid w:val="003012B4"/>
    <w:rsid w:val="003050B9"/>
    <w:rsid w:val="00305F79"/>
    <w:rsid w:val="00311E56"/>
    <w:rsid w:val="003149B9"/>
    <w:rsid w:val="003213B1"/>
    <w:rsid w:val="00322D32"/>
    <w:rsid w:val="003241CE"/>
    <w:rsid w:val="00326B07"/>
    <w:rsid w:val="0033075B"/>
    <w:rsid w:val="003509BB"/>
    <w:rsid w:val="003639AC"/>
    <w:rsid w:val="00370C34"/>
    <w:rsid w:val="003763C0"/>
    <w:rsid w:val="00383865"/>
    <w:rsid w:val="00390C72"/>
    <w:rsid w:val="0039389D"/>
    <w:rsid w:val="0039565E"/>
    <w:rsid w:val="00395F90"/>
    <w:rsid w:val="003A73FB"/>
    <w:rsid w:val="003C07EF"/>
    <w:rsid w:val="003C29C6"/>
    <w:rsid w:val="003C5B7B"/>
    <w:rsid w:val="003D0726"/>
    <w:rsid w:val="003D6D94"/>
    <w:rsid w:val="003D7415"/>
    <w:rsid w:val="003E66F1"/>
    <w:rsid w:val="003F306E"/>
    <w:rsid w:val="003F3E14"/>
    <w:rsid w:val="003F6BDE"/>
    <w:rsid w:val="003F6C47"/>
    <w:rsid w:val="00410C97"/>
    <w:rsid w:val="004248D7"/>
    <w:rsid w:val="004267E0"/>
    <w:rsid w:val="00436C98"/>
    <w:rsid w:val="00443A4C"/>
    <w:rsid w:val="0044567C"/>
    <w:rsid w:val="0044611E"/>
    <w:rsid w:val="00453910"/>
    <w:rsid w:val="00454F01"/>
    <w:rsid w:val="00455EC0"/>
    <w:rsid w:val="004668CD"/>
    <w:rsid w:val="00471F6E"/>
    <w:rsid w:val="00476F42"/>
    <w:rsid w:val="00490E56"/>
    <w:rsid w:val="004A28C0"/>
    <w:rsid w:val="004A2A0C"/>
    <w:rsid w:val="004A3049"/>
    <w:rsid w:val="004A67D7"/>
    <w:rsid w:val="004B052F"/>
    <w:rsid w:val="004C3E34"/>
    <w:rsid w:val="004D4C54"/>
    <w:rsid w:val="004E0AB2"/>
    <w:rsid w:val="004E250E"/>
    <w:rsid w:val="004E4B13"/>
    <w:rsid w:val="004F7F2C"/>
    <w:rsid w:val="005031D4"/>
    <w:rsid w:val="00505D9B"/>
    <w:rsid w:val="00516D96"/>
    <w:rsid w:val="0052014E"/>
    <w:rsid w:val="00524E52"/>
    <w:rsid w:val="00535BC7"/>
    <w:rsid w:val="00540F58"/>
    <w:rsid w:val="0054176C"/>
    <w:rsid w:val="00556EF9"/>
    <w:rsid w:val="005649BB"/>
    <w:rsid w:val="00576236"/>
    <w:rsid w:val="005879A6"/>
    <w:rsid w:val="00591B24"/>
    <w:rsid w:val="005946B4"/>
    <w:rsid w:val="005963F3"/>
    <w:rsid w:val="005A38E9"/>
    <w:rsid w:val="005A5426"/>
    <w:rsid w:val="005B23FB"/>
    <w:rsid w:val="005B55B8"/>
    <w:rsid w:val="005C6C92"/>
    <w:rsid w:val="005D2266"/>
    <w:rsid w:val="005D3E15"/>
    <w:rsid w:val="005E1050"/>
    <w:rsid w:val="005E57B0"/>
    <w:rsid w:val="005E702B"/>
    <w:rsid w:val="005F0BB4"/>
    <w:rsid w:val="005F572B"/>
    <w:rsid w:val="00604EA3"/>
    <w:rsid w:val="00615094"/>
    <w:rsid w:val="00631D13"/>
    <w:rsid w:val="00635585"/>
    <w:rsid w:val="00642FE0"/>
    <w:rsid w:val="00652424"/>
    <w:rsid w:val="006668D3"/>
    <w:rsid w:val="0068014F"/>
    <w:rsid w:val="00690E45"/>
    <w:rsid w:val="0069568C"/>
    <w:rsid w:val="00697861"/>
    <w:rsid w:val="006A07C5"/>
    <w:rsid w:val="006A6135"/>
    <w:rsid w:val="006B154E"/>
    <w:rsid w:val="006C7848"/>
    <w:rsid w:val="006D16A4"/>
    <w:rsid w:val="006D498B"/>
    <w:rsid w:val="006E05B9"/>
    <w:rsid w:val="006E16F3"/>
    <w:rsid w:val="006E4077"/>
    <w:rsid w:val="006F3F91"/>
    <w:rsid w:val="006F6304"/>
    <w:rsid w:val="006F733D"/>
    <w:rsid w:val="00703D5A"/>
    <w:rsid w:val="007050E6"/>
    <w:rsid w:val="00705110"/>
    <w:rsid w:val="00711546"/>
    <w:rsid w:val="0072791C"/>
    <w:rsid w:val="007335AE"/>
    <w:rsid w:val="007374EB"/>
    <w:rsid w:val="00742DC2"/>
    <w:rsid w:val="007568F2"/>
    <w:rsid w:val="0076050F"/>
    <w:rsid w:val="00764015"/>
    <w:rsid w:val="00773778"/>
    <w:rsid w:val="0077413B"/>
    <w:rsid w:val="00792103"/>
    <w:rsid w:val="00796FBD"/>
    <w:rsid w:val="007A7346"/>
    <w:rsid w:val="007B7A1E"/>
    <w:rsid w:val="007D50BE"/>
    <w:rsid w:val="007E5FB2"/>
    <w:rsid w:val="007F4562"/>
    <w:rsid w:val="007F7EC5"/>
    <w:rsid w:val="00813536"/>
    <w:rsid w:val="00832517"/>
    <w:rsid w:val="00834A0D"/>
    <w:rsid w:val="0083772E"/>
    <w:rsid w:val="00842DC6"/>
    <w:rsid w:val="00845614"/>
    <w:rsid w:val="008519C3"/>
    <w:rsid w:val="008549B7"/>
    <w:rsid w:val="00855A99"/>
    <w:rsid w:val="00857EA1"/>
    <w:rsid w:val="00860163"/>
    <w:rsid w:val="00874BD0"/>
    <w:rsid w:val="00877495"/>
    <w:rsid w:val="00882670"/>
    <w:rsid w:val="00883BEE"/>
    <w:rsid w:val="00886356"/>
    <w:rsid w:val="00892078"/>
    <w:rsid w:val="00892915"/>
    <w:rsid w:val="008A6CAB"/>
    <w:rsid w:val="008E2C7B"/>
    <w:rsid w:val="008F02E9"/>
    <w:rsid w:val="009010F1"/>
    <w:rsid w:val="0091141F"/>
    <w:rsid w:val="00911F8F"/>
    <w:rsid w:val="00916A94"/>
    <w:rsid w:val="009244B3"/>
    <w:rsid w:val="009367D5"/>
    <w:rsid w:val="00946D06"/>
    <w:rsid w:val="0095124A"/>
    <w:rsid w:val="00951591"/>
    <w:rsid w:val="0095384B"/>
    <w:rsid w:val="00962697"/>
    <w:rsid w:val="0096485D"/>
    <w:rsid w:val="00966A58"/>
    <w:rsid w:val="00966E11"/>
    <w:rsid w:val="009673D9"/>
    <w:rsid w:val="009736FE"/>
    <w:rsid w:val="00974565"/>
    <w:rsid w:val="00986E4B"/>
    <w:rsid w:val="009A2BEB"/>
    <w:rsid w:val="009A3448"/>
    <w:rsid w:val="009B03D6"/>
    <w:rsid w:val="009B1341"/>
    <w:rsid w:val="009B1EA2"/>
    <w:rsid w:val="009D1683"/>
    <w:rsid w:val="009D32FF"/>
    <w:rsid w:val="009F582D"/>
    <w:rsid w:val="00A045A0"/>
    <w:rsid w:val="00A06DC3"/>
    <w:rsid w:val="00A11C30"/>
    <w:rsid w:val="00A1479C"/>
    <w:rsid w:val="00A17508"/>
    <w:rsid w:val="00A26A31"/>
    <w:rsid w:val="00A3144C"/>
    <w:rsid w:val="00A40307"/>
    <w:rsid w:val="00A40B6E"/>
    <w:rsid w:val="00A42DE7"/>
    <w:rsid w:val="00A46341"/>
    <w:rsid w:val="00A47BAC"/>
    <w:rsid w:val="00A55070"/>
    <w:rsid w:val="00A57715"/>
    <w:rsid w:val="00A658A9"/>
    <w:rsid w:val="00A67519"/>
    <w:rsid w:val="00A723BB"/>
    <w:rsid w:val="00A77656"/>
    <w:rsid w:val="00A77969"/>
    <w:rsid w:val="00A805E2"/>
    <w:rsid w:val="00A842C7"/>
    <w:rsid w:val="00A91A20"/>
    <w:rsid w:val="00A91B02"/>
    <w:rsid w:val="00AA05BE"/>
    <w:rsid w:val="00AA1527"/>
    <w:rsid w:val="00AA2457"/>
    <w:rsid w:val="00AA634B"/>
    <w:rsid w:val="00AA6C00"/>
    <w:rsid w:val="00AA736F"/>
    <w:rsid w:val="00AB14BE"/>
    <w:rsid w:val="00AB2501"/>
    <w:rsid w:val="00AC144C"/>
    <w:rsid w:val="00AC16E2"/>
    <w:rsid w:val="00AD1CA0"/>
    <w:rsid w:val="00AE6E07"/>
    <w:rsid w:val="00AF7FA9"/>
    <w:rsid w:val="00B004E9"/>
    <w:rsid w:val="00B05C2C"/>
    <w:rsid w:val="00B07DB1"/>
    <w:rsid w:val="00B114F0"/>
    <w:rsid w:val="00B14886"/>
    <w:rsid w:val="00B2406B"/>
    <w:rsid w:val="00B26A18"/>
    <w:rsid w:val="00B30D8A"/>
    <w:rsid w:val="00B310C4"/>
    <w:rsid w:val="00B40D05"/>
    <w:rsid w:val="00B418EB"/>
    <w:rsid w:val="00B43C2E"/>
    <w:rsid w:val="00B53C37"/>
    <w:rsid w:val="00B55745"/>
    <w:rsid w:val="00B56C20"/>
    <w:rsid w:val="00B71C93"/>
    <w:rsid w:val="00B83A25"/>
    <w:rsid w:val="00B867C2"/>
    <w:rsid w:val="00B8691A"/>
    <w:rsid w:val="00B97685"/>
    <w:rsid w:val="00BA5395"/>
    <w:rsid w:val="00BA5656"/>
    <w:rsid w:val="00BA7147"/>
    <w:rsid w:val="00BB3FBC"/>
    <w:rsid w:val="00BB637F"/>
    <w:rsid w:val="00BC4574"/>
    <w:rsid w:val="00BC58CF"/>
    <w:rsid w:val="00BC71B6"/>
    <w:rsid w:val="00BC7861"/>
    <w:rsid w:val="00BD3666"/>
    <w:rsid w:val="00BE2EE1"/>
    <w:rsid w:val="00BE64BB"/>
    <w:rsid w:val="00BF608C"/>
    <w:rsid w:val="00C055E5"/>
    <w:rsid w:val="00C11EA1"/>
    <w:rsid w:val="00C12335"/>
    <w:rsid w:val="00C211B9"/>
    <w:rsid w:val="00C253A2"/>
    <w:rsid w:val="00C25DA3"/>
    <w:rsid w:val="00C2660D"/>
    <w:rsid w:val="00C40D11"/>
    <w:rsid w:val="00C41153"/>
    <w:rsid w:val="00C45B35"/>
    <w:rsid w:val="00C502A5"/>
    <w:rsid w:val="00C516BD"/>
    <w:rsid w:val="00C51DAA"/>
    <w:rsid w:val="00C55E00"/>
    <w:rsid w:val="00C627C8"/>
    <w:rsid w:val="00C82F88"/>
    <w:rsid w:val="00C93602"/>
    <w:rsid w:val="00CB0ABE"/>
    <w:rsid w:val="00CB55C2"/>
    <w:rsid w:val="00CC2C4F"/>
    <w:rsid w:val="00CC770D"/>
    <w:rsid w:val="00CD6EBF"/>
    <w:rsid w:val="00CE48AB"/>
    <w:rsid w:val="00CF0821"/>
    <w:rsid w:val="00CF579B"/>
    <w:rsid w:val="00D05188"/>
    <w:rsid w:val="00D35668"/>
    <w:rsid w:val="00D3733D"/>
    <w:rsid w:val="00D37FCF"/>
    <w:rsid w:val="00D455D2"/>
    <w:rsid w:val="00D466FA"/>
    <w:rsid w:val="00D7144B"/>
    <w:rsid w:val="00D71569"/>
    <w:rsid w:val="00D73C4B"/>
    <w:rsid w:val="00D85172"/>
    <w:rsid w:val="00D87452"/>
    <w:rsid w:val="00D946F9"/>
    <w:rsid w:val="00D965D1"/>
    <w:rsid w:val="00DA7711"/>
    <w:rsid w:val="00DB0380"/>
    <w:rsid w:val="00DC0654"/>
    <w:rsid w:val="00DC0F60"/>
    <w:rsid w:val="00DC3051"/>
    <w:rsid w:val="00DC33CC"/>
    <w:rsid w:val="00DD7B8D"/>
    <w:rsid w:val="00DF1F89"/>
    <w:rsid w:val="00DF4C0F"/>
    <w:rsid w:val="00E00426"/>
    <w:rsid w:val="00E07CC5"/>
    <w:rsid w:val="00E10887"/>
    <w:rsid w:val="00E1503D"/>
    <w:rsid w:val="00E20F42"/>
    <w:rsid w:val="00E3063E"/>
    <w:rsid w:val="00E33EF6"/>
    <w:rsid w:val="00E36A28"/>
    <w:rsid w:val="00E4654F"/>
    <w:rsid w:val="00E5069F"/>
    <w:rsid w:val="00E51B85"/>
    <w:rsid w:val="00E60BD1"/>
    <w:rsid w:val="00E6172D"/>
    <w:rsid w:val="00E70CE6"/>
    <w:rsid w:val="00E75C32"/>
    <w:rsid w:val="00EA03A4"/>
    <w:rsid w:val="00EA2821"/>
    <w:rsid w:val="00EA5F92"/>
    <w:rsid w:val="00EB0BFE"/>
    <w:rsid w:val="00EC67D3"/>
    <w:rsid w:val="00EE289C"/>
    <w:rsid w:val="00EE38F6"/>
    <w:rsid w:val="00EE5F26"/>
    <w:rsid w:val="00EF4250"/>
    <w:rsid w:val="00EF69AB"/>
    <w:rsid w:val="00F01F96"/>
    <w:rsid w:val="00F02F53"/>
    <w:rsid w:val="00F04BE9"/>
    <w:rsid w:val="00F17188"/>
    <w:rsid w:val="00F31ADC"/>
    <w:rsid w:val="00F32345"/>
    <w:rsid w:val="00F3325F"/>
    <w:rsid w:val="00F34984"/>
    <w:rsid w:val="00F377A6"/>
    <w:rsid w:val="00F43DBB"/>
    <w:rsid w:val="00F43F28"/>
    <w:rsid w:val="00F501C7"/>
    <w:rsid w:val="00F7066A"/>
    <w:rsid w:val="00F763F2"/>
    <w:rsid w:val="00F830CF"/>
    <w:rsid w:val="00F86F93"/>
    <w:rsid w:val="00F9212F"/>
    <w:rsid w:val="00F93B9D"/>
    <w:rsid w:val="00FB60BA"/>
    <w:rsid w:val="00FC1699"/>
    <w:rsid w:val="00FC52C8"/>
    <w:rsid w:val="00FD5D8D"/>
    <w:rsid w:val="00FD5F50"/>
    <w:rsid w:val="00FF0E88"/>
    <w:rsid w:val="00FF4D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0B7B"/>
  <w15:docId w15:val="{9464A748-52B8-4601-82F0-9A12FCFB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lt-LT" w:eastAsia="lt-LT" w:bidi="ar-SA"/>
      </w:rPr>
    </w:rPrDefault>
    <w:pPrDefault>
      <w:pPr>
        <w:pBdr>
          <w:top w:val="nil"/>
          <w:left w:val="nil"/>
          <w:bottom w:val="nil"/>
          <w:right w:val="nil"/>
          <w:between w:val="nil"/>
        </w:pBd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b/>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0" w:line="240" w:lineRule="auto"/>
    </w:pPr>
    <w:rPr>
      <w:color w:val="5A5A5A"/>
      <w:sz w:val="20"/>
      <w:szCs w:val="20"/>
    </w:rPr>
  </w:style>
  <w:style w:type="character" w:styleId="Hyperlink">
    <w:name w:val="Hyperlink"/>
    <w:basedOn w:val="DefaultParagraphFont"/>
    <w:uiPriority w:val="99"/>
    <w:unhideWhenUsed/>
    <w:rsid w:val="005A5426"/>
    <w:rPr>
      <w:color w:val="0000FF" w:themeColor="hyperlink"/>
      <w:u w:val="single"/>
    </w:rPr>
  </w:style>
  <w:style w:type="paragraph" w:styleId="FootnoteText">
    <w:name w:val="footnote text"/>
    <w:basedOn w:val="Normal"/>
    <w:link w:val="FootnoteTextChar"/>
    <w:uiPriority w:val="99"/>
    <w:unhideWhenUsed/>
    <w:rsid w:val="005A542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noProof/>
      <w:color w:val="auto"/>
      <w:sz w:val="20"/>
      <w:szCs w:val="20"/>
      <w:lang w:eastAsia="en-US"/>
    </w:rPr>
  </w:style>
  <w:style w:type="character" w:customStyle="1" w:styleId="FootnoteTextChar">
    <w:name w:val="Footnote Text Char"/>
    <w:basedOn w:val="DefaultParagraphFont"/>
    <w:link w:val="FootnoteText"/>
    <w:uiPriority w:val="99"/>
    <w:rsid w:val="005A5426"/>
    <w:rPr>
      <w:rFonts w:asciiTheme="minorHAnsi" w:eastAsiaTheme="minorHAnsi" w:hAnsiTheme="minorHAnsi" w:cstheme="minorBidi"/>
      <w:noProof/>
      <w:color w:val="auto"/>
      <w:sz w:val="20"/>
      <w:szCs w:val="20"/>
      <w:lang w:eastAsia="en-US"/>
    </w:rPr>
  </w:style>
  <w:style w:type="character" w:styleId="FootnoteReference">
    <w:name w:val="footnote reference"/>
    <w:basedOn w:val="DefaultParagraphFont"/>
    <w:uiPriority w:val="99"/>
    <w:semiHidden/>
    <w:unhideWhenUsed/>
    <w:rsid w:val="005A5426"/>
    <w:rPr>
      <w:vertAlign w:val="superscript"/>
    </w:rPr>
  </w:style>
  <w:style w:type="paragraph" w:customStyle="1" w:styleId="Default">
    <w:name w:val="Default"/>
    <w:rsid w:val="005A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left"/>
    </w:pPr>
    <w:rPr>
      <w:rFonts w:ascii="Times New Roman" w:eastAsiaTheme="minorHAnsi" w:hAnsi="Times New Roman" w:cs="Times New Roman"/>
      <w:sz w:val="24"/>
      <w:szCs w:val="24"/>
      <w:lang w:eastAsia="en-US"/>
    </w:rPr>
  </w:style>
  <w:style w:type="paragraph" w:styleId="ListParagraph">
    <w:name w:val="List Paragraph"/>
    <w:basedOn w:val="Normal"/>
    <w:link w:val="ListParagraphChar"/>
    <w:uiPriority w:val="34"/>
    <w:qFormat/>
    <w:rsid w:val="005A5426"/>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noProof/>
      <w:color w:val="auto"/>
      <w:lang w:eastAsia="en-US"/>
    </w:rPr>
  </w:style>
  <w:style w:type="paragraph" w:customStyle="1" w:styleId="EndNoteBibliography">
    <w:name w:val="EndNote Bibliography"/>
    <w:basedOn w:val="Normal"/>
    <w:link w:val="EndNoteBibliographyChar"/>
    <w:rsid w:val="005A5426"/>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noProof/>
      <w:color w:val="auto"/>
      <w:lang w:val="en-US" w:eastAsia="en-US"/>
    </w:rPr>
  </w:style>
  <w:style w:type="character" w:customStyle="1" w:styleId="EndNoteBibliographyChar">
    <w:name w:val="EndNote Bibliography Char"/>
    <w:basedOn w:val="DefaultParagraphFont"/>
    <w:link w:val="EndNoteBibliography"/>
    <w:rsid w:val="005A5426"/>
    <w:rPr>
      <w:rFonts w:eastAsiaTheme="minorHAnsi"/>
      <w:noProof/>
      <w:color w:val="auto"/>
      <w:lang w:val="en-US" w:eastAsia="en-US"/>
    </w:rPr>
  </w:style>
  <w:style w:type="table" w:styleId="TableGrid">
    <w:name w:val="Table Grid"/>
    <w:basedOn w:val="TableNormal"/>
    <w:uiPriority w:val="39"/>
    <w:rsid w:val="005A5426"/>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5426"/>
    <w:rPr>
      <w:color w:val="800080" w:themeColor="followedHyperlink"/>
      <w:u w:val="single"/>
    </w:rPr>
  </w:style>
  <w:style w:type="paragraph" w:styleId="Header">
    <w:name w:val="header"/>
    <w:basedOn w:val="Normal"/>
    <w:link w:val="HeaderChar"/>
    <w:uiPriority w:val="99"/>
    <w:unhideWhenUsed/>
    <w:rsid w:val="005A54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5A5426"/>
  </w:style>
  <w:style w:type="paragraph" w:styleId="Footer">
    <w:name w:val="footer"/>
    <w:basedOn w:val="Normal"/>
    <w:link w:val="FooterChar"/>
    <w:uiPriority w:val="99"/>
    <w:unhideWhenUsed/>
    <w:rsid w:val="005A54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5A5426"/>
  </w:style>
  <w:style w:type="character" w:styleId="CommentReference">
    <w:name w:val="annotation reference"/>
    <w:basedOn w:val="DefaultParagraphFont"/>
    <w:uiPriority w:val="99"/>
    <w:semiHidden/>
    <w:unhideWhenUsed/>
    <w:rsid w:val="007335AE"/>
    <w:rPr>
      <w:sz w:val="16"/>
      <w:szCs w:val="16"/>
    </w:rPr>
  </w:style>
  <w:style w:type="paragraph" w:styleId="CommentText">
    <w:name w:val="annotation text"/>
    <w:basedOn w:val="Normal"/>
    <w:link w:val="CommentTextChar"/>
    <w:uiPriority w:val="99"/>
    <w:semiHidden/>
    <w:unhideWhenUsed/>
    <w:rsid w:val="007335AE"/>
    <w:pPr>
      <w:spacing w:line="240" w:lineRule="auto"/>
    </w:pPr>
    <w:rPr>
      <w:sz w:val="20"/>
      <w:szCs w:val="20"/>
    </w:rPr>
  </w:style>
  <w:style w:type="character" w:customStyle="1" w:styleId="CommentTextChar">
    <w:name w:val="Comment Text Char"/>
    <w:basedOn w:val="DefaultParagraphFont"/>
    <w:link w:val="CommentText"/>
    <w:uiPriority w:val="99"/>
    <w:semiHidden/>
    <w:rsid w:val="007335AE"/>
    <w:rPr>
      <w:sz w:val="20"/>
      <w:szCs w:val="20"/>
    </w:rPr>
  </w:style>
  <w:style w:type="paragraph" w:styleId="CommentSubject">
    <w:name w:val="annotation subject"/>
    <w:basedOn w:val="CommentText"/>
    <w:next w:val="CommentText"/>
    <w:link w:val="CommentSubjectChar"/>
    <w:uiPriority w:val="99"/>
    <w:semiHidden/>
    <w:unhideWhenUsed/>
    <w:rsid w:val="007335AE"/>
    <w:rPr>
      <w:b/>
      <w:bCs/>
    </w:rPr>
  </w:style>
  <w:style w:type="character" w:customStyle="1" w:styleId="CommentSubjectChar">
    <w:name w:val="Comment Subject Char"/>
    <w:basedOn w:val="CommentTextChar"/>
    <w:link w:val="CommentSubject"/>
    <w:uiPriority w:val="99"/>
    <w:semiHidden/>
    <w:rsid w:val="007335AE"/>
    <w:rPr>
      <w:b/>
      <w:bCs/>
      <w:sz w:val="20"/>
      <w:szCs w:val="20"/>
    </w:rPr>
  </w:style>
  <w:style w:type="paragraph" w:styleId="BalloonText">
    <w:name w:val="Balloon Text"/>
    <w:basedOn w:val="Normal"/>
    <w:link w:val="BalloonTextChar"/>
    <w:uiPriority w:val="99"/>
    <w:semiHidden/>
    <w:unhideWhenUsed/>
    <w:rsid w:val="0073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5AE"/>
    <w:rPr>
      <w:rFonts w:ascii="Segoe UI" w:hAnsi="Segoe UI" w:cs="Segoe UI"/>
      <w:sz w:val="18"/>
      <w:szCs w:val="18"/>
    </w:rPr>
  </w:style>
  <w:style w:type="paragraph" w:styleId="NoSpacing">
    <w:name w:val="No Spacing"/>
    <w:next w:val="Default"/>
    <w:uiPriority w:val="1"/>
    <w:qFormat/>
    <w:rsid w:val="00111BFF"/>
    <w:pPr>
      <w:spacing w:after="0" w:line="240" w:lineRule="auto"/>
    </w:pPr>
  </w:style>
  <w:style w:type="paragraph" w:customStyle="1" w:styleId="EndNoteBibliographyTitle">
    <w:name w:val="EndNote Bibliography Title"/>
    <w:basedOn w:val="Normal"/>
    <w:link w:val="EndNoteBibliographyTitleChar"/>
    <w:rsid w:val="000049F8"/>
    <w:pPr>
      <w:spacing w:after="0"/>
      <w:jc w:val="center"/>
    </w:pPr>
    <w:rPr>
      <w:noProof/>
    </w:rPr>
  </w:style>
  <w:style w:type="character" w:customStyle="1" w:styleId="ListParagraphChar">
    <w:name w:val="List Paragraph Char"/>
    <w:basedOn w:val="DefaultParagraphFont"/>
    <w:link w:val="ListParagraph"/>
    <w:uiPriority w:val="34"/>
    <w:rsid w:val="000049F8"/>
    <w:rPr>
      <w:rFonts w:asciiTheme="minorHAnsi" w:eastAsiaTheme="minorHAnsi" w:hAnsiTheme="minorHAnsi" w:cstheme="minorBidi"/>
      <w:noProof/>
      <w:color w:val="auto"/>
      <w:lang w:eastAsia="en-US"/>
    </w:rPr>
  </w:style>
  <w:style w:type="character" w:customStyle="1" w:styleId="EndNoteBibliographyTitleChar">
    <w:name w:val="EndNote Bibliography Title Char"/>
    <w:basedOn w:val="ListParagraphChar"/>
    <w:link w:val="EndNoteBibliographyTitle"/>
    <w:rsid w:val="000049F8"/>
    <w:rPr>
      <w:rFonts w:asciiTheme="minorHAnsi" w:eastAsiaTheme="minorHAnsi" w:hAnsiTheme="minorHAnsi" w:cstheme="minorBidi"/>
      <w:noProof/>
      <w:color w:val="auto"/>
      <w:lang w:eastAsia="en-US"/>
    </w:rPr>
  </w:style>
  <w:style w:type="character" w:customStyle="1" w:styleId="highlight">
    <w:name w:val="highlight"/>
    <w:basedOn w:val="DefaultParagraphFont"/>
    <w:rsid w:val="00B53C37"/>
  </w:style>
  <w:style w:type="paragraph" w:styleId="NormalWeb">
    <w:name w:val="Normal (Web)"/>
    <w:basedOn w:val="Normal"/>
    <w:uiPriority w:val="99"/>
    <w:unhideWhenUsed/>
    <w:rsid w:val="00A805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2151">
      <w:bodyDiv w:val="1"/>
      <w:marLeft w:val="0"/>
      <w:marRight w:val="0"/>
      <w:marTop w:val="0"/>
      <w:marBottom w:val="0"/>
      <w:divBdr>
        <w:top w:val="none" w:sz="0" w:space="0" w:color="auto"/>
        <w:left w:val="none" w:sz="0" w:space="0" w:color="auto"/>
        <w:bottom w:val="none" w:sz="0" w:space="0" w:color="auto"/>
        <w:right w:val="none" w:sz="0" w:space="0" w:color="auto"/>
      </w:divBdr>
    </w:div>
    <w:div w:id="218201942">
      <w:bodyDiv w:val="1"/>
      <w:marLeft w:val="0"/>
      <w:marRight w:val="0"/>
      <w:marTop w:val="0"/>
      <w:marBottom w:val="0"/>
      <w:divBdr>
        <w:top w:val="none" w:sz="0" w:space="0" w:color="auto"/>
        <w:left w:val="none" w:sz="0" w:space="0" w:color="auto"/>
        <w:bottom w:val="none" w:sz="0" w:space="0" w:color="auto"/>
        <w:right w:val="none" w:sz="0" w:space="0" w:color="auto"/>
      </w:divBdr>
      <w:divsChild>
        <w:div w:id="429354259">
          <w:marLeft w:val="0"/>
          <w:marRight w:val="0"/>
          <w:marTop w:val="0"/>
          <w:marBottom w:val="0"/>
          <w:divBdr>
            <w:top w:val="none" w:sz="0" w:space="0" w:color="auto"/>
            <w:left w:val="none" w:sz="0" w:space="0" w:color="auto"/>
            <w:bottom w:val="none" w:sz="0" w:space="0" w:color="auto"/>
            <w:right w:val="none" w:sz="0" w:space="0" w:color="auto"/>
          </w:divBdr>
        </w:div>
      </w:divsChild>
    </w:div>
    <w:div w:id="826822863">
      <w:bodyDiv w:val="1"/>
      <w:marLeft w:val="0"/>
      <w:marRight w:val="0"/>
      <w:marTop w:val="0"/>
      <w:marBottom w:val="0"/>
      <w:divBdr>
        <w:top w:val="none" w:sz="0" w:space="0" w:color="auto"/>
        <w:left w:val="none" w:sz="0" w:space="0" w:color="auto"/>
        <w:bottom w:val="none" w:sz="0" w:space="0" w:color="auto"/>
        <w:right w:val="none" w:sz="0" w:space="0" w:color="auto"/>
      </w:divBdr>
    </w:div>
    <w:div w:id="856500973">
      <w:bodyDiv w:val="1"/>
      <w:marLeft w:val="0"/>
      <w:marRight w:val="0"/>
      <w:marTop w:val="0"/>
      <w:marBottom w:val="0"/>
      <w:divBdr>
        <w:top w:val="none" w:sz="0" w:space="0" w:color="auto"/>
        <w:left w:val="none" w:sz="0" w:space="0" w:color="auto"/>
        <w:bottom w:val="none" w:sz="0" w:space="0" w:color="auto"/>
        <w:right w:val="none" w:sz="0" w:space="0" w:color="auto"/>
      </w:divBdr>
    </w:div>
    <w:div w:id="952056512">
      <w:bodyDiv w:val="1"/>
      <w:marLeft w:val="0"/>
      <w:marRight w:val="0"/>
      <w:marTop w:val="0"/>
      <w:marBottom w:val="0"/>
      <w:divBdr>
        <w:top w:val="none" w:sz="0" w:space="0" w:color="auto"/>
        <w:left w:val="none" w:sz="0" w:space="0" w:color="auto"/>
        <w:bottom w:val="none" w:sz="0" w:space="0" w:color="auto"/>
        <w:right w:val="none" w:sz="0" w:space="0" w:color="auto"/>
      </w:divBdr>
      <w:divsChild>
        <w:div w:id="1274827623">
          <w:marLeft w:val="0"/>
          <w:marRight w:val="0"/>
          <w:marTop w:val="0"/>
          <w:marBottom w:val="0"/>
          <w:divBdr>
            <w:top w:val="none" w:sz="0" w:space="0" w:color="auto"/>
            <w:left w:val="none" w:sz="0" w:space="0" w:color="auto"/>
            <w:bottom w:val="none" w:sz="0" w:space="0" w:color="auto"/>
            <w:right w:val="none" w:sz="0" w:space="0" w:color="auto"/>
          </w:divBdr>
        </w:div>
      </w:divsChild>
    </w:div>
    <w:div w:id="1124541652">
      <w:bodyDiv w:val="1"/>
      <w:marLeft w:val="0"/>
      <w:marRight w:val="0"/>
      <w:marTop w:val="0"/>
      <w:marBottom w:val="0"/>
      <w:divBdr>
        <w:top w:val="none" w:sz="0" w:space="0" w:color="auto"/>
        <w:left w:val="none" w:sz="0" w:space="0" w:color="auto"/>
        <w:bottom w:val="none" w:sz="0" w:space="0" w:color="auto"/>
        <w:right w:val="none" w:sz="0" w:space="0" w:color="auto"/>
      </w:divBdr>
    </w:div>
    <w:div w:id="1202403532">
      <w:bodyDiv w:val="1"/>
      <w:marLeft w:val="0"/>
      <w:marRight w:val="0"/>
      <w:marTop w:val="0"/>
      <w:marBottom w:val="0"/>
      <w:divBdr>
        <w:top w:val="none" w:sz="0" w:space="0" w:color="auto"/>
        <w:left w:val="none" w:sz="0" w:space="0" w:color="auto"/>
        <w:bottom w:val="none" w:sz="0" w:space="0" w:color="auto"/>
        <w:right w:val="none" w:sz="0" w:space="0" w:color="auto"/>
      </w:divBdr>
    </w:div>
    <w:div w:id="1239093833">
      <w:bodyDiv w:val="1"/>
      <w:marLeft w:val="0"/>
      <w:marRight w:val="0"/>
      <w:marTop w:val="0"/>
      <w:marBottom w:val="0"/>
      <w:divBdr>
        <w:top w:val="none" w:sz="0" w:space="0" w:color="auto"/>
        <w:left w:val="none" w:sz="0" w:space="0" w:color="auto"/>
        <w:bottom w:val="none" w:sz="0" w:space="0" w:color="auto"/>
        <w:right w:val="none" w:sz="0" w:space="0" w:color="auto"/>
      </w:divBdr>
    </w:div>
    <w:div w:id="1705011290">
      <w:bodyDiv w:val="1"/>
      <w:marLeft w:val="0"/>
      <w:marRight w:val="0"/>
      <w:marTop w:val="0"/>
      <w:marBottom w:val="0"/>
      <w:divBdr>
        <w:top w:val="none" w:sz="0" w:space="0" w:color="auto"/>
        <w:left w:val="none" w:sz="0" w:space="0" w:color="auto"/>
        <w:bottom w:val="none" w:sz="0" w:space="0" w:color="auto"/>
        <w:right w:val="none" w:sz="0" w:space="0" w:color="auto"/>
      </w:divBdr>
    </w:div>
    <w:div w:id="1912693046">
      <w:bodyDiv w:val="1"/>
      <w:marLeft w:val="0"/>
      <w:marRight w:val="0"/>
      <w:marTop w:val="0"/>
      <w:marBottom w:val="0"/>
      <w:divBdr>
        <w:top w:val="none" w:sz="0" w:space="0" w:color="auto"/>
        <w:left w:val="none" w:sz="0" w:space="0" w:color="auto"/>
        <w:bottom w:val="none" w:sz="0" w:space="0" w:color="auto"/>
        <w:right w:val="none" w:sz="0" w:space="0" w:color="auto"/>
      </w:divBdr>
      <w:divsChild>
        <w:div w:id="1239484648">
          <w:marLeft w:val="0"/>
          <w:marRight w:val="0"/>
          <w:marTop w:val="0"/>
          <w:marBottom w:val="0"/>
          <w:divBdr>
            <w:top w:val="none" w:sz="0" w:space="0" w:color="auto"/>
            <w:left w:val="none" w:sz="0" w:space="0" w:color="auto"/>
            <w:bottom w:val="none" w:sz="0" w:space="0" w:color="auto"/>
            <w:right w:val="none" w:sz="0" w:space="0" w:color="auto"/>
          </w:divBdr>
        </w:div>
        <w:div w:id="1120220075">
          <w:marLeft w:val="0"/>
          <w:marRight w:val="0"/>
          <w:marTop w:val="0"/>
          <w:marBottom w:val="0"/>
          <w:divBdr>
            <w:top w:val="none" w:sz="0" w:space="0" w:color="auto"/>
            <w:left w:val="none" w:sz="0" w:space="0" w:color="auto"/>
            <w:bottom w:val="none" w:sz="0" w:space="0" w:color="auto"/>
            <w:right w:val="none" w:sz="0" w:space="0" w:color="auto"/>
          </w:divBdr>
        </w:div>
        <w:div w:id="835609917">
          <w:marLeft w:val="0"/>
          <w:marRight w:val="0"/>
          <w:marTop w:val="0"/>
          <w:marBottom w:val="0"/>
          <w:divBdr>
            <w:top w:val="none" w:sz="0" w:space="0" w:color="auto"/>
            <w:left w:val="none" w:sz="0" w:space="0" w:color="auto"/>
            <w:bottom w:val="none" w:sz="0" w:space="0" w:color="auto"/>
            <w:right w:val="none" w:sz="0" w:space="0" w:color="auto"/>
          </w:divBdr>
        </w:div>
        <w:div w:id="1909998130">
          <w:marLeft w:val="0"/>
          <w:marRight w:val="0"/>
          <w:marTop w:val="0"/>
          <w:marBottom w:val="0"/>
          <w:divBdr>
            <w:top w:val="none" w:sz="0" w:space="0" w:color="auto"/>
            <w:left w:val="none" w:sz="0" w:space="0" w:color="auto"/>
            <w:bottom w:val="none" w:sz="0" w:space="0" w:color="auto"/>
            <w:right w:val="none" w:sz="0" w:space="0" w:color="auto"/>
          </w:divBdr>
        </w:div>
        <w:div w:id="378356040">
          <w:marLeft w:val="0"/>
          <w:marRight w:val="0"/>
          <w:marTop w:val="0"/>
          <w:marBottom w:val="0"/>
          <w:divBdr>
            <w:top w:val="none" w:sz="0" w:space="0" w:color="auto"/>
            <w:left w:val="none" w:sz="0" w:space="0" w:color="auto"/>
            <w:bottom w:val="none" w:sz="0" w:space="0" w:color="auto"/>
            <w:right w:val="none" w:sz="0" w:space="0" w:color="auto"/>
          </w:divBdr>
        </w:div>
        <w:div w:id="1893275188">
          <w:marLeft w:val="0"/>
          <w:marRight w:val="0"/>
          <w:marTop w:val="0"/>
          <w:marBottom w:val="0"/>
          <w:divBdr>
            <w:top w:val="none" w:sz="0" w:space="0" w:color="auto"/>
            <w:left w:val="none" w:sz="0" w:space="0" w:color="auto"/>
            <w:bottom w:val="none" w:sz="0" w:space="0" w:color="auto"/>
            <w:right w:val="none" w:sz="0" w:space="0" w:color="auto"/>
          </w:divBdr>
        </w:div>
        <w:div w:id="1530144108">
          <w:marLeft w:val="0"/>
          <w:marRight w:val="0"/>
          <w:marTop w:val="0"/>
          <w:marBottom w:val="0"/>
          <w:divBdr>
            <w:top w:val="none" w:sz="0" w:space="0" w:color="auto"/>
            <w:left w:val="none" w:sz="0" w:space="0" w:color="auto"/>
            <w:bottom w:val="none" w:sz="0" w:space="0" w:color="auto"/>
            <w:right w:val="none" w:sz="0" w:space="0" w:color="auto"/>
          </w:divBdr>
        </w:div>
        <w:div w:id="983781752">
          <w:marLeft w:val="0"/>
          <w:marRight w:val="0"/>
          <w:marTop w:val="0"/>
          <w:marBottom w:val="0"/>
          <w:divBdr>
            <w:top w:val="none" w:sz="0" w:space="0" w:color="auto"/>
            <w:left w:val="none" w:sz="0" w:space="0" w:color="auto"/>
            <w:bottom w:val="none" w:sz="0" w:space="0" w:color="auto"/>
            <w:right w:val="none" w:sz="0" w:space="0" w:color="auto"/>
          </w:divBdr>
        </w:div>
        <w:div w:id="2140612597">
          <w:marLeft w:val="0"/>
          <w:marRight w:val="0"/>
          <w:marTop w:val="0"/>
          <w:marBottom w:val="0"/>
          <w:divBdr>
            <w:top w:val="none" w:sz="0" w:space="0" w:color="auto"/>
            <w:left w:val="none" w:sz="0" w:space="0" w:color="auto"/>
            <w:bottom w:val="none" w:sz="0" w:space="0" w:color="auto"/>
            <w:right w:val="none" w:sz="0" w:space="0" w:color="auto"/>
          </w:divBdr>
        </w:div>
        <w:div w:id="2039698217">
          <w:marLeft w:val="0"/>
          <w:marRight w:val="0"/>
          <w:marTop w:val="0"/>
          <w:marBottom w:val="0"/>
          <w:divBdr>
            <w:top w:val="none" w:sz="0" w:space="0" w:color="auto"/>
            <w:left w:val="none" w:sz="0" w:space="0" w:color="auto"/>
            <w:bottom w:val="none" w:sz="0" w:space="0" w:color="auto"/>
            <w:right w:val="none" w:sz="0" w:space="0" w:color="auto"/>
          </w:divBdr>
        </w:div>
      </w:divsChild>
    </w:div>
    <w:div w:id="1948197805">
      <w:bodyDiv w:val="1"/>
      <w:marLeft w:val="0"/>
      <w:marRight w:val="0"/>
      <w:marTop w:val="0"/>
      <w:marBottom w:val="0"/>
      <w:divBdr>
        <w:top w:val="none" w:sz="0" w:space="0" w:color="auto"/>
        <w:left w:val="none" w:sz="0" w:space="0" w:color="auto"/>
        <w:bottom w:val="none" w:sz="0" w:space="0" w:color="auto"/>
        <w:right w:val="none" w:sz="0" w:space="0" w:color="auto"/>
      </w:divBdr>
    </w:div>
    <w:div w:id="1974363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matin.ch/suisse/Le-Conseil-federal-s-oppose-aux-paquets-de-cigarettes-neutres/story/31905395" TargetMode="External"/><Relationship Id="rId3" Type="http://schemas.openxmlformats.org/officeDocument/2006/relationships/hyperlink" Target="https://www.tobaccofreekids.org/assets/microsites/plainpackaging/International-Developments-Dec-2017-Final_En.pdf" TargetMode="External"/><Relationship Id="rId7" Type="http://schemas.openxmlformats.org/officeDocument/2006/relationships/hyperlink" Target="http://www.levif.be/actualite/belgique/les-partis-de-la-majorite-rejettent-le-paquet-de-cigarettes-neutre/article-normal-373219.html" TargetMode="External"/><Relationship Id="rId2" Type="http://schemas.openxmlformats.org/officeDocument/2006/relationships/hyperlink" Target="https://www.linkedin.com/pulse/tobacco-plain-packaging-sweden-lena-seratelius" TargetMode="External"/><Relationship Id="rId1" Type="http://schemas.openxmlformats.org/officeDocument/2006/relationships/hyperlink" Target="https://e-seimas.lrs.lt/portal/legalAct/lt/TAP/bbe5ac50a61711e8aa33fe8f0fea665f" TargetMode="External"/><Relationship Id="rId6" Type="http://schemas.openxmlformats.org/officeDocument/2006/relationships/hyperlink" Target="https://www.tobaccoasia.com/features/packaging-not-any-plainer/" TargetMode="External"/><Relationship Id="rId5" Type="http://schemas.openxmlformats.org/officeDocument/2006/relationships/hyperlink" Target="https://www.lematin.ch/suisse/Le-Conseil-federal-s-oppose-aux-paquets-de-cigarettes-neutres/story/31905395" TargetMode="External"/><Relationship Id="rId10" Type="http://schemas.openxmlformats.org/officeDocument/2006/relationships/hyperlink" Target="https://www.tobaccofreekids.org/assets/global/pdfs/en/WL_status_report_en.pdf" TargetMode="External"/><Relationship Id="rId4" Type="http://schemas.openxmlformats.org/officeDocument/2006/relationships/hyperlink" Target="http://www.tobaccoasia.com/features/packaging-not-any-plainer/" TargetMode="External"/><Relationship Id="rId9" Type="http://schemas.openxmlformats.org/officeDocument/2006/relationships/hyperlink" Target="https://www.tobaccoasia.com/features/packaging-not-any-plai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501D-2D4F-4B42-864E-F282AE06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19502</Words>
  <Characters>11117</Characters>
  <Application>Microsoft Office Word</Application>
  <DocSecurity>4</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LLRI</dc:creator>
  <cp:lastModifiedBy>Ruta</cp:lastModifiedBy>
  <cp:revision>2</cp:revision>
  <cp:lastPrinted>2018-09-05T07:01:00Z</cp:lastPrinted>
  <dcterms:created xsi:type="dcterms:W3CDTF">2018-09-05T14:52:00Z</dcterms:created>
  <dcterms:modified xsi:type="dcterms:W3CDTF">2018-09-05T14:52:00Z</dcterms:modified>
</cp:coreProperties>
</file>