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7292111"/>
        <w:docPartObj>
          <w:docPartGallery w:val="Cover Pages"/>
          <w:docPartUnique/>
        </w:docPartObj>
      </w:sdtPr>
      <w:sdtEndPr>
        <w:rPr>
          <w:rFonts w:eastAsia="Times New Roman" w:cs="Times New Roman"/>
          <w:b/>
          <w:bCs/>
          <w:iCs/>
          <w:sz w:val="24"/>
          <w:szCs w:val="24"/>
          <w:lang w:eastAsia="lt-LT"/>
        </w:rPr>
      </w:sdtEndPr>
      <w:sdtContent>
        <w:p w:rsidR="00A96CFE" w:rsidRDefault="00A96CFE">
          <w:r>
            <w:rPr>
              <w:noProof/>
            </w:rPr>
            <w:drawing>
              <wp:anchor distT="0" distB="0" distL="114300" distR="114300" simplePos="0" relativeHeight="251669504"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A96CFE" w:rsidRDefault="00A96CFE" w:rsidP="0049206A">
          <w:pPr>
            <w:jc w:val="center"/>
          </w:pPr>
        </w:p>
        <w:p w:rsidR="00A96CFE" w:rsidRDefault="00A96CFE"/>
        <w:p w:rsidR="00A96CFE" w:rsidRDefault="00A96CFE"/>
        <w:p w:rsidR="00A96CFE" w:rsidRDefault="00A96CFE"/>
        <w:p w:rsidR="00A96CFE" w:rsidRDefault="00A96CFE"/>
        <w:p w:rsidR="00A96CFE" w:rsidRDefault="00A96CFE" w:rsidP="0049206A">
          <w:pPr>
            <w:shd w:val="clear" w:color="auto" w:fill="FFFFFF"/>
            <w:spacing w:after="0" w:line="301" w:lineRule="atLeast"/>
            <w:ind w:right="282"/>
            <w:outlineLvl w:val="1"/>
            <w:rPr>
              <w:rFonts w:ascii="Arial" w:eastAsia="Times New Roman" w:hAnsi="Arial" w:cs="Arial"/>
              <w:b/>
              <w:bCs/>
              <w:color w:val="2B650E"/>
              <w:sz w:val="60"/>
              <w:szCs w:val="60"/>
            </w:rPr>
          </w:pPr>
          <w:r>
            <w:rPr>
              <w:rFonts w:ascii="Arial" w:eastAsia="Times New Roman" w:hAnsi="Arial" w:cs="Arial"/>
              <w:b/>
              <w:bCs/>
              <w:color w:val="2B650E"/>
              <w:sz w:val="60"/>
              <w:szCs w:val="60"/>
            </w:rPr>
            <w:t xml:space="preserve">Panevėžio regioninis </w:t>
          </w:r>
          <w:r w:rsidRPr="00A96CFE">
            <w:rPr>
              <w:rFonts w:ascii="Arial" w:eastAsia="Times New Roman" w:hAnsi="Arial" w:cs="Arial"/>
              <w:b/>
              <w:bCs/>
              <w:color w:val="2B650E"/>
              <w:sz w:val="60"/>
              <w:szCs w:val="60"/>
            </w:rPr>
            <w:t xml:space="preserve">sąvartynas </w:t>
          </w:r>
        </w:p>
        <w:p w:rsidR="00A96CFE" w:rsidRPr="0049206A" w:rsidRDefault="00A96CFE" w:rsidP="0049206A">
          <w:pPr>
            <w:shd w:val="clear" w:color="auto" w:fill="FFFFFF"/>
            <w:spacing w:after="0" w:line="301" w:lineRule="atLeast"/>
            <w:ind w:right="282"/>
            <w:outlineLvl w:val="1"/>
            <w:rPr>
              <w:rFonts w:ascii="Arial" w:eastAsia="Times New Roman" w:hAnsi="Arial" w:cs="Arial"/>
              <w:bCs/>
              <w:i/>
              <w:color w:val="676E79"/>
              <w:sz w:val="40"/>
              <w:szCs w:val="40"/>
            </w:rPr>
          </w:pPr>
          <w:r>
            <w:rPr>
              <w:rFonts w:ascii="Arial" w:eastAsia="Times New Roman" w:hAnsi="Arial" w:cs="Arial"/>
              <w:bCs/>
              <w:i/>
              <w:color w:val="2B650E"/>
              <w:sz w:val="40"/>
              <w:szCs w:val="40"/>
            </w:rPr>
            <w:t>A</w:t>
          </w:r>
          <w:r w:rsidRPr="00CF0F7B">
            <w:rPr>
              <w:rFonts w:ascii="Arial" w:eastAsia="Times New Roman" w:hAnsi="Arial" w:cs="Arial"/>
              <w:bCs/>
              <w:i/>
              <w:color w:val="2B650E"/>
              <w:sz w:val="40"/>
              <w:szCs w:val="40"/>
            </w:rPr>
            <w:t>tvejo analizė</w:t>
          </w:r>
        </w:p>
        <w:p w:rsidR="00A96CFE" w:rsidRDefault="00A96CFE">
          <w:pPr>
            <w:rPr>
              <w:rFonts w:eastAsia="Times New Roman"/>
              <w:b/>
              <w:bCs/>
              <w:iCs/>
              <w:noProof/>
              <w:sz w:val="24"/>
              <w:szCs w:val="24"/>
            </w:rPr>
          </w:pPr>
        </w:p>
        <w:p w:rsidR="00A96CFE" w:rsidRDefault="00A96CFE">
          <w:pPr>
            <w:rPr>
              <w:rFonts w:eastAsia="Times New Roman"/>
              <w:b/>
              <w:bCs/>
              <w:iCs/>
              <w:noProof/>
              <w:sz w:val="24"/>
              <w:szCs w:val="24"/>
            </w:rPr>
          </w:pPr>
        </w:p>
        <w:p w:rsidR="00A96CFE" w:rsidRDefault="00A96CFE"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7456"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6CFE" w:rsidRDefault="00A96CFE"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6432"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4" name="Picture 4"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r>
            <w:rPr>
              <w:rFonts w:eastAsia="Times New Roman"/>
              <w:b/>
              <w:bCs/>
              <w:iCs/>
              <w:noProof/>
              <w:sz w:val="24"/>
              <w:szCs w:val="24"/>
            </w:rPr>
            <w:drawing>
              <wp:anchor distT="0" distB="0" distL="114300" distR="114300" simplePos="0" relativeHeight="251668480"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A96CFE" w:rsidRDefault="00A96CFE" w:rsidP="0049206A">
          <w:pPr>
            <w:jc w:val="right"/>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pPr>
            <w:rPr>
              <w:rFonts w:eastAsia="Times New Roman"/>
              <w:b/>
              <w:bCs/>
              <w:iCs/>
              <w:sz w:val="24"/>
              <w:szCs w:val="24"/>
            </w:rPr>
          </w:pPr>
        </w:p>
        <w:p w:rsidR="00A96CFE" w:rsidRDefault="00A96CFE" w:rsidP="00540105">
          <w:pPr>
            <w:jc w:val="center"/>
            <w:rPr>
              <w:rFonts w:eastAsia="Times New Roman" w:cs="Times New Roman"/>
              <w:b/>
              <w:bCs/>
              <w:iCs/>
              <w:sz w:val="24"/>
              <w:szCs w:val="24"/>
              <w:lang w:eastAsia="lt-LT"/>
            </w:rPr>
          </w:pPr>
          <w:r w:rsidRPr="00730AC2">
            <w:rPr>
              <w:rFonts w:ascii="Arial" w:hAnsi="Arial" w:cs="Arial"/>
              <w:color w:val="2B650E"/>
              <w:sz w:val="28"/>
              <w:szCs w:val="28"/>
            </w:rPr>
            <w:t>Vilnius • 2015</w:t>
          </w:r>
          <w:bookmarkStart w:id="0" w:name="_GoBack"/>
          <w:bookmarkEnd w:id="0"/>
          <w:r>
            <w:rPr>
              <w:rFonts w:eastAsia="Times New Roman" w:cs="Times New Roman"/>
              <w:b/>
              <w:bCs/>
              <w:iCs/>
              <w:sz w:val="24"/>
              <w:szCs w:val="24"/>
              <w:lang w:eastAsia="lt-LT"/>
            </w:rPr>
            <w:br w:type="page"/>
          </w:r>
        </w:p>
      </w:sdtContent>
    </w:sdt>
    <w:p w:rsidR="00111535" w:rsidRPr="00111535" w:rsidRDefault="00111535" w:rsidP="00111535">
      <w:pPr>
        <w:spacing w:after="0" w:line="240" w:lineRule="auto"/>
        <w:rPr>
          <w:rFonts w:eastAsia="Times New Roman" w:cs="Times New Roman"/>
          <w:sz w:val="24"/>
          <w:szCs w:val="24"/>
          <w:lang w:eastAsia="lt-LT"/>
        </w:rPr>
      </w:pPr>
      <w:r w:rsidRPr="00111535">
        <w:rPr>
          <w:rFonts w:eastAsia="Times New Roman" w:cs="Times New Roman"/>
          <w:b/>
          <w:bCs/>
          <w:iCs/>
          <w:sz w:val="24"/>
          <w:szCs w:val="24"/>
          <w:lang w:eastAsia="lt-LT"/>
        </w:rPr>
        <w:lastRenderedPageBreak/>
        <w:t>PANEVĖŽIO REGIONINIS SĄVARTYNAS</w:t>
      </w:r>
      <w:r w:rsidRPr="00111535">
        <w:rPr>
          <w:rFonts w:eastAsia="Times New Roman" w:cs="Times New Roman"/>
          <w:sz w:val="24"/>
          <w:szCs w:val="24"/>
          <w:lang w:eastAsia="lt-LT"/>
        </w:rPr>
        <w:br/>
      </w:r>
    </w:p>
    <w:p w:rsidR="00111535" w:rsidRDefault="00111535" w:rsidP="00111535">
      <w:pPr>
        <w:spacing w:after="0" w:line="240" w:lineRule="auto"/>
        <w:rPr>
          <w:rFonts w:cs="Times New Roman"/>
          <w:b/>
        </w:rPr>
      </w:pPr>
    </w:p>
    <w:p w:rsidR="00111535" w:rsidRDefault="00111535" w:rsidP="00111535">
      <w:pPr>
        <w:spacing w:after="0" w:line="240" w:lineRule="auto"/>
        <w:rPr>
          <w:rFonts w:cs="Times New Roman"/>
          <w:b/>
        </w:rPr>
      </w:pPr>
      <w:r w:rsidRPr="00111535">
        <w:rPr>
          <w:rFonts w:eastAsia="Times New Roman" w:cs="Times New Roman"/>
          <w:b/>
          <w:bCs/>
          <w:iCs/>
          <w:noProof/>
          <w:lang w:eastAsia="lt-LT"/>
        </w:rPr>
        <w:drawing>
          <wp:anchor distT="0" distB="0" distL="114300" distR="114300" simplePos="0" relativeHeight="251659264" behindDoc="0" locked="0" layoutInCell="1" allowOverlap="1" wp14:anchorId="34B011F1" wp14:editId="61AD1F25">
            <wp:simplePos x="0" y="0"/>
            <wp:positionH relativeFrom="margin">
              <wp:posOffset>-2540</wp:posOffset>
            </wp:positionH>
            <wp:positionV relativeFrom="margin">
              <wp:posOffset>496570</wp:posOffset>
            </wp:positionV>
            <wp:extent cx="2981325" cy="1876425"/>
            <wp:effectExtent l="0" t="0" r="9525" b="9525"/>
            <wp:wrapSquare wrapText="bothSides"/>
            <wp:docPr id="7" name="Picture 7" descr="http://g3.dcdn.lt/images/pix/file27578649_892584b463ef855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3.dcdn.lt/images/pix/file27578649_892584b463ef85521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876425"/>
                    </a:xfrm>
                    <a:prstGeom prst="rect">
                      <a:avLst/>
                    </a:prstGeom>
                    <a:noFill/>
                    <a:ln>
                      <a:noFill/>
                    </a:ln>
                  </pic:spPr>
                </pic:pic>
              </a:graphicData>
            </a:graphic>
          </wp:anchor>
        </w:drawing>
      </w:r>
      <w:r w:rsidRPr="00111535">
        <w:rPr>
          <w:rFonts w:cs="Times New Roman"/>
          <w:b/>
        </w:rPr>
        <w:t>Esama situacija</w:t>
      </w:r>
    </w:p>
    <w:p w:rsidR="00111535" w:rsidRPr="00111535" w:rsidRDefault="00111535" w:rsidP="00111535">
      <w:pPr>
        <w:spacing w:after="0" w:line="240" w:lineRule="auto"/>
        <w:rPr>
          <w:rFonts w:cs="Times New Roman"/>
          <w:b/>
        </w:rPr>
      </w:pPr>
    </w:p>
    <w:p w:rsidR="00111535" w:rsidRDefault="00111535" w:rsidP="00111535">
      <w:pPr>
        <w:spacing w:after="0" w:line="240" w:lineRule="auto"/>
        <w:jc w:val="both"/>
        <w:rPr>
          <w:rFonts w:cs="Times New Roman"/>
          <w:bCs/>
          <w:iCs/>
        </w:rPr>
      </w:pPr>
      <w:r w:rsidRPr="00111535">
        <w:rPr>
          <w:rFonts w:cs="Times New Roman"/>
          <w:bCs/>
          <w:iCs/>
        </w:rPr>
        <w:t xml:space="preserve">2003 m. paskelbta apie planus šalia </w:t>
      </w:r>
      <w:proofErr w:type="spellStart"/>
      <w:r w:rsidRPr="00111535">
        <w:rPr>
          <w:rFonts w:cs="Times New Roman"/>
          <w:bCs/>
          <w:iCs/>
        </w:rPr>
        <w:t>Liūdynės</w:t>
      </w:r>
      <w:proofErr w:type="spellEnd"/>
      <w:r w:rsidRPr="00111535">
        <w:rPr>
          <w:rFonts w:cs="Times New Roman"/>
          <w:bCs/>
          <w:iCs/>
        </w:rPr>
        <w:t xml:space="preserve"> gyvenvietės Panevėžio r. įrengti naują Panevėžio regioninį sąvartyną. Pradėta rengti galimybių studiją ir poveikio aplinkai vertinimo ataskaitą. 2004 m. pradžioje PAV ataskaitai pritarė aplinkosaugininkai, rajono meras, savivaldybė ir kitos atsakingos institucijos. Priešiškai nusiteikę gyventojai (</w:t>
      </w:r>
      <w:proofErr w:type="spellStart"/>
      <w:r w:rsidRPr="00111535">
        <w:rPr>
          <w:rFonts w:cs="Times New Roman"/>
          <w:bCs/>
          <w:iCs/>
        </w:rPr>
        <w:t>Liūdynės</w:t>
      </w:r>
      <w:proofErr w:type="spellEnd"/>
      <w:r w:rsidRPr="00111535">
        <w:rPr>
          <w:rFonts w:cs="Times New Roman"/>
          <w:bCs/>
          <w:iCs/>
        </w:rPr>
        <w:t xml:space="preserve"> bendruomenė) kreipėsi į LR prezidentą ir kitas valdžios institucijas su prašymu nepritarti sąvartyno statyboms. 2004 m. birželio mėn., atsižvelgusi į bendruomenės susirūpinimą, Panevėžio r. taryba nepritarė planuojamo sąvartyno vietai. 2004 m. liepos mėn. Aplinkos ministerija prašymo finansuoti sąvartyno įrengimą paraišką grąžino Panevėžio apskrities viršininko administracijai ir paprašė iki rugpjūčio mėn. susitarti su vietos bendruomene. Derybos užtruko. Po keletą metų trukusių derybų, nušalinus bei išsirinkus naują tarybą, bendruomenei pavyko susitarti su valdžia. Bendruomenė išsiderėjo, kad  į </w:t>
      </w:r>
      <w:proofErr w:type="spellStart"/>
      <w:r w:rsidRPr="00111535">
        <w:rPr>
          <w:rFonts w:cs="Times New Roman"/>
          <w:bCs/>
          <w:iCs/>
        </w:rPr>
        <w:t>Liūdynės</w:t>
      </w:r>
      <w:proofErr w:type="spellEnd"/>
      <w:r w:rsidRPr="00111535">
        <w:rPr>
          <w:rFonts w:cs="Times New Roman"/>
          <w:bCs/>
          <w:iCs/>
        </w:rPr>
        <w:t xml:space="preserve"> bendruomenių sąskaitą kasmet nuo 2006 iki 2013 metų įplauks po 100 tūkst. litų., skirtų bendruomenės reikmėms tenkinti ir gyvenimo kokybei gerinti. 2008 m. birželį pradėtos sąvartyno statybos. Panaudojus lėšas, 2008 m. </w:t>
      </w:r>
      <w:proofErr w:type="spellStart"/>
      <w:r w:rsidRPr="00111535">
        <w:rPr>
          <w:rFonts w:cs="Times New Roman"/>
          <w:bCs/>
          <w:iCs/>
        </w:rPr>
        <w:t>Liūdynėje</w:t>
      </w:r>
      <w:proofErr w:type="spellEnd"/>
      <w:r w:rsidRPr="00111535">
        <w:rPr>
          <w:rFonts w:cs="Times New Roman"/>
          <w:bCs/>
          <w:iCs/>
        </w:rPr>
        <w:t xml:space="preserve"> pastatytas bibliotekos pastatas, medicinos punktas, nutiestos vandentiekio ir nuotekų trasos, įrengtas bendruomenės sporto klubas, įsigyta technikos gyvenvietei prižiūrėti, taip pat pakeisti arčiausiai sąvartyno esančių namų langai.</w:t>
      </w:r>
    </w:p>
    <w:p w:rsidR="00111535" w:rsidRPr="00111535" w:rsidRDefault="00111535" w:rsidP="00111535">
      <w:pPr>
        <w:spacing w:after="0" w:line="240" w:lineRule="auto"/>
        <w:jc w:val="both"/>
        <w:rPr>
          <w:rFonts w:cs="Times New Roman"/>
          <w:bCs/>
          <w:iCs/>
        </w:rPr>
      </w:pPr>
    </w:p>
    <w:p w:rsidR="00111535" w:rsidRDefault="00111535" w:rsidP="00111535">
      <w:pPr>
        <w:spacing w:after="0" w:line="240" w:lineRule="auto"/>
        <w:rPr>
          <w:rFonts w:eastAsia="Times New Roman" w:cs="Times New Roman"/>
          <w:b/>
          <w:bCs/>
          <w:lang w:eastAsia="lt-LT"/>
        </w:rPr>
      </w:pPr>
      <w:r w:rsidRPr="00111535">
        <w:rPr>
          <w:rFonts w:eastAsia="Times New Roman" w:cs="Times New Roman"/>
          <w:b/>
          <w:bCs/>
          <w:lang w:eastAsia="lt-LT"/>
        </w:rPr>
        <w:t>APLINKOS APSAUGA</w:t>
      </w:r>
    </w:p>
    <w:p w:rsidR="00111535" w:rsidRPr="00111535" w:rsidRDefault="00111535" w:rsidP="00111535">
      <w:pPr>
        <w:spacing w:after="0" w:line="240" w:lineRule="auto"/>
        <w:rPr>
          <w:rFonts w:eastAsia="Times New Roman" w:cs="Times New Roman"/>
          <w:b/>
          <w:bCs/>
          <w:lang w:eastAsia="lt-LT"/>
        </w:rPr>
      </w:pPr>
    </w:p>
    <w:tbl>
      <w:tblPr>
        <w:tblW w:w="9072" w:type="dxa"/>
        <w:tblInd w:w="-8" w:type="dxa"/>
        <w:tblLayout w:type="fixed"/>
        <w:tblCellMar>
          <w:left w:w="15" w:type="dxa"/>
          <w:bottom w:w="15" w:type="dxa"/>
          <w:right w:w="15" w:type="dxa"/>
        </w:tblCellMar>
        <w:tblLook w:val="04A0" w:firstRow="1" w:lastRow="0" w:firstColumn="1" w:lastColumn="0" w:noHBand="0" w:noVBand="1"/>
      </w:tblPr>
      <w:tblGrid>
        <w:gridCol w:w="1843"/>
        <w:gridCol w:w="7229"/>
      </w:tblGrid>
      <w:tr w:rsidR="00111535" w:rsidRPr="00111535" w:rsidTr="00111535">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AEAAAA" w:themeFill="background2" w:themeFillShade="BF"/>
            <w:hideMark/>
          </w:tcPr>
          <w:p w:rsidR="00111535" w:rsidRPr="00111535" w:rsidRDefault="00111535" w:rsidP="00111535">
            <w:pPr>
              <w:spacing w:after="0" w:line="240" w:lineRule="auto"/>
              <w:jc w:val="center"/>
              <w:rPr>
                <w:rFonts w:eastAsia="Times New Roman" w:cs="Times New Roman"/>
                <w:lang w:eastAsia="lt-LT"/>
              </w:rPr>
            </w:pPr>
            <w:r w:rsidRPr="00111535">
              <w:rPr>
                <w:b/>
                <w:bCs/>
              </w:rPr>
              <w:t xml:space="preserve">Sanitarinė apsaugos zona (SAZ), kitos saugomos teritorijos </w:t>
            </w:r>
          </w:p>
        </w:tc>
      </w:tr>
      <w:tr w:rsidR="00111535" w:rsidRPr="00111535" w:rsidTr="00111535">
        <w:trPr>
          <w:trHeight w:val="1329"/>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111535" w:rsidRPr="00111535" w:rsidRDefault="00111535" w:rsidP="00111535">
            <w:pPr>
              <w:spacing w:after="0" w:line="240" w:lineRule="auto"/>
              <w:jc w:val="both"/>
              <w:rPr>
                <w:bCs/>
                <w:iCs/>
              </w:rPr>
            </w:pPr>
            <w:r w:rsidRPr="00111535">
              <w:rPr>
                <w:b/>
              </w:rPr>
              <w:t>SAZ</w:t>
            </w:r>
            <w:r w:rsidRPr="00111535">
              <w:t xml:space="preserve"> – aplink stacionarų taršos šaltinį arba keletą jų esanti teritorija, kurioje dėl galimo neigiamo  poveikio žmonių sveikatai galioja nustatytos specialiosios žemės naudojimo sąlygos. SAZ tikslas - a</w:t>
            </w:r>
            <w:r w:rsidRPr="00111535">
              <w:rPr>
                <w:bCs/>
              </w:rPr>
              <w:t xml:space="preserve">psaugoti gyvenamąją aplinką ir žmonių sveikatą nuo taršos, suformuoti sveiką gyvenamąją, darbo ir poilsio aplinką ir kt. </w:t>
            </w:r>
            <w:r w:rsidRPr="00111535">
              <w:rPr>
                <w:b/>
                <w:bCs/>
                <w:iCs/>
              </w:rPr>
              <w:t>SAZ galioja</w:t>
            </w:r>
            <w:r w:rsidRPr="00111535">
              <w:rPr>
                <w:bCs/>
                <w:iCs/>
              </w:rPr>
              <w:t xml:space="preserve"> </w:t>
            </w:r>
            <w:r w:rsidRPr="00111535">
              <w:rPr>
                <w:b/>
                <w:bCs/>
                <w:iCs/>
              </w:rPr>
              <w:t>specialus režimas</w:t>
            </w:r>
            <w:r w:rsidRPr="00111535">
              <w:rPr>
                <w:bCs/>
                <w:iCs/>
              </w:rPr>
              <w:t>: teritorijoje negali būti statomi gyvenamieji namai, viešbučiai ar kiti trumpalaikio apgyvendinimo pastatai, švietimo, sveikatos priežiūros ir slaugos įstaigos, neturi būti įrengiamos vandenvietės, kurioms turi būti nustatytos SAZ juostos, taip pat rekreacijos teritorijos ir pramoginių renginių atviri ar uždari statiniai.</w:t>
            </w:r>
          </w:p>
        </w:tc>
      </w:tr>
      <w:tr w:rsidR="00111535" w:rsidRPr="00111535" w:rsidTr="00111535">
        <w:trPr>
          <w:trHeight w:val="275"/>
        </w:trPr>
        <w:tc>
          <w:tcPr>
            <w:tcW w:w="9072" w:type="dxa"/>
            <w:gridSpan w:val="2"/>
            <w:tcBorders>
              <w:top w:val="single" w:sz="4" w:space="0" w:color="auto"/>
              <w:left w:val="single" w:sz="6" w:space="0" w:color="000000"/>
              <w:bottom w:val="single" w:sz="4" w:space="0" w:color="auto"/>
              <w:right w:val="single" w:sz="6" w:space="0" w:color="000000"/>
            </w:tcBorders>
          </w:tcPr>
          <w:p w:rsidR="00111535" w:rsidRPr="00111535" w:rsidRDefault="00111535" w:rsidP="00111535">
            <w:pPr>
              <w:spacing w:after="0" w:line="240" w:lineRule="auto"/>
              <w:jc w:val="both"/>
              <w:rPr>
                <w:rFonts w:eastAsia="Times New Roman" w:cs="Times New Roman"/>
                <w:bCs/>
                <w:color w:val="000000"/>
                <w:shd w:val="clear" w:color="auto" w:fill="FFFFFF"/>
                <w:lang w:eastAsia="lt-LT"/>
              </w:rPr>
            </w:pPr>
            <w:r w:rsidRPr="00111535">
              <w:rPr>
                <w:rFonts w:eastAsia="Times New Roman" w:cs="Times New Roman"/>
                <w:b/>
                <w:color w:val="000000"/>
                <w:shd w:val="clear" w:color="auto" w:fill="FFFFFF"/>
                <w:lang w:eastAsia="lt-LT"/>
              </w:rPr>
              <w:t xml:space="preserve">Panevėžio regioninės atliekų tvarkymo sistemos plėtra. </w:t>
            </w:r>
            <w:r w:rsidRPr="00111535">
              <w:rPr>
                <w:rFonts w:eastAsia="Times New Roman" w:cs="Times New Roman"/>
                <w:b/>
                <w:bCs/>
                <w:color w:val="000000"/>
                <w:shd w:val="clear" w:color="auto" w:fill="FFFFFF"/>
                <w:lang w:eastAsia="lt-LT"/>
              </w:rPr>
              <w:t>Regioninio nepavojingų atliekų  sąvartyno įrengimas, PAV a</w:t>
            </w:r>
            <w:r w:rsidRPr="00111535">
              <w:rPr>
                <w:rFonts w:eastAsia="Times New Roman" w:cs="Times New Roman"/>
                <w:b/>
                <w:color w:val="000000"/>
                <w:shd w:val="clear" w:color="auto" w:fill="FFFFFF"/>
                <w:lang w:eastAsia="lt-LT"/>
              </w:rPr>
              <w:t>taskaita:</w:t>
            </w:r>
          </w:p>
          <w:p w:rsidR="00111535" w:rsidRPr="00111535" w:rsidRDefault="00111535" w:rsidP="00111535">
            <w:pPr>
              <w:spacing w:after="0" w:line="240" w:lineRule="auto"/>
              <w:jc w:val="both"/>
              <w:rPr>
                <w:rFonts w:eastAsia="Times New Roman" w:cs="Times New Roman"/>
                <w:color w:val="000000"/>
                <w:shd w:val="clear" w:color="auto" w:fill="FFFFFF"/>
                <w:lang w:eastAsia="lt-LT"/>
              </w:rPr>
            </w:pPr>
            <w:r w:rsidRPr="00111535">
              <w:rPr>
                <w:rFonts w:eastAsia="Times New Roman" w:cs="Times New Roman"/>
                <w:bCs/>
                <w:color w:val="000000"/>
                <w:shd w:val="clear" w:color="auto" w:fill="FFFFFF"/>
                <w:lang w:eastAsia="lt-LT"/>
              </w:rPr>
              <w:t>Remiantis sanitarinių apsaugos zonų nustatymo tvarka, SAZ yra nustatomas aplink stacionarius taršos šaltinius. Sąvartyno atveju, stacionariu taršos šaltiniu yra atliekų kaupas. Komunalinių atliekų sąvartynui pagal Specialiąsias žemės ir miško naudojimo sąlygas ir Sanitarinių apsaugos zonų nustatymo ir priežiūros tvarką yra nustatytas sanitarinės apsaugos zonos (SAZ) plotis - 500 m. Sąvartyno sanitarinės apsaugos zonoje gyvenamųjų namų ir kitų draudžiamų objektų nėra. Sąvartyno eksploatacijos metu aplinkos tarša už sanitarinės apsaugos zonos ribos (500 metrų atstumu nuo atliekų kaupo) sąvartyne neviršys nei vieno taršos komponento DLK. Uždarius sąvartyną, laikui bėgant jo poveikis aplinkai mažės visais atžvilgiais. Todėl uždarytam sąvartynui sanitarinės apsaugos zona nustatyta tvarka galės būti sumažinta iki 250 m pločio. Vėliau, pastoviai atliekant aplinkos taršos monitoringą, kai aplinkos tarša pačiame sąvartyne neviršys nei vieno taršos komponento DLK, SAZ bus likviduota, o rekultivuoto sąvartyno teritorijai galės būti pagal galiojančią tvarką nustatyta nauja naudojimo paskirtis</w:t>
            </w:r>
            <w:bookmarkStart w:id="1" w:name="_Ref435780091"/>
            <w:r w:rsidRPr="00111535">
              <w:rPr>
                <w:rStyle w:val="FootnoteReference"/>
                <w:rFonts w:eastAsia="Times New Roman" w:cs="Times New Roman"/>
                <w:bCs/>
                <w:color w:val="000000"/>
                <w:shd w:val="clear" w:color="auto" w:fill="FFFFFF"/>
                <w:lang w:eastAsia="lt-LT"/>
              </w:rPr>
              <w:footnoteReference w:id="1"/>
            </w:r>
            <w:bookmarkEnd w:id="1"/>
            <w:r w:rsidRPr="00111535">
              <w:rPr>
                <w:rFonts w:eastAsia="Times New Roman" w:cs="Times New Roman"/>
                <w:bCs/>
                <w:color w:val="000000"/>
                <w:shd w:val="clear" w:color="auto" w:fill="FFFFFF"/>
                <w:lang w:eastAsia="lt-LT"/>
              </w:rPr>
              <w:t>.</w:t>
            </w:r>
          </w:p>
        </w:tc>
      </w:tr>
      <w:tr w:rsidR="00111535" w:rsidRPr="00111535" w:rsidTr="00111535">
        <w:tblPrEx>
          <w:tblCellMar>
            <w:left w:w="108" w:type="dxa"/>
            <w:bottom w:w="0" w:type="dxa"/>
            <w:right w:w="108" w:type="dxa"/>
          </w:tblCellMar>
        </w:tblPrEx>
        <w:trPr>
          <w:trHeight w:val="275"/>
        </w:trPr>
        <w:tc>
          <w:tcPr>
            <w:tcW w:w="9072" w:type="dxa"/>
            <w:gridSpan w:val="2"/>
            <w:tcBorders>
              <w:top w:val="single" w:sz="4" w:space="0" w:color="auto"/>
              <w:left w:val="single" w:sz="6" w:space="0" w:color="000000"/>
              <w:bottom w:val="single" w:sz="6" w:space="0" w:color="000000"/>
              <w:right w:val="single" w:sz="6" w:space="0" w:color="000000"/>
            </w:tcBorders>
            <w:shd w:val="clear" w:color="auto" w:fill="FFBA75"/>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lastRenderedPageBreak/>
              <w:t>TERITORIJŲ PLANAVIMAS (Kraštovaizdžio, gyvenamosios aplinkos keitimas)</w:t>
            </w:r>
          </w:p>
        </w:tc>
      </w:tr>
      <w:tr w:rsidR="00111535" w:rsidRPr="00111535" w:rsidTr="00111535">
        <w:tblPrEx>
          <w:tblCellMar>
            <w:left w:w="108" w:type="dxa"/>
            <w:bottom w:w="0" w:type="dxa"/>
            <w:right w:w="108" w:type="dxa"/>
          </w:tblCellMar>
        </w:tblPrEx>
        <w:trPr>
          <w:trHeight w:val="275"/>
        </w:trPr>
        <w:tc>
          <w:tcPr>
            <w:tcW w:w="9072" w:type="dxa"/>
            <w:gridSpan w:val="2"/>
            <w:tcBorders>
              <w:top w:val="single" w:sz="6" w:space="0" w:color="000000"/>
              <w:left w:val="single" w:sz="6" w:space="0" w:color="000000"/>
              <w:bottom w:val="single" w:sz="4" w:space="0" w:color="auto"/>
              <w:right w:val="single" w:sz="6" w:space="0" w:color="000000"/>
            </w:tcBorders>
            <w:shd w:val="clear" w:color="auto" w:fill="FFBA75"/>
            <w:tcMar>
              <w:top w:w="0" w:type="dxa"/>
              <w:left w:w="15" w:type="dxa"/>
              <w:bottom w:w="15" w:type="dxa"/>
              <w:right w:w="15" w:type="dxa"/>
            </w:tcMar>
            <w:hideMark/>
          </w:tcPr>
          <w:p w:rsidR="00111535" w:rsidRPr="00111535" w:rsidRDefault="00111535" w:rsidP="00111535">
            <w:pPr>
              <w:spacing w:after="0" w:line="240" w:lineRule="auto"/>
              <w:jc w:val="both"/>
              <w:rPr>
                <w:bCs/>
              </w:rPr>
            </w:pPr>
            <w:r w:rsidRPr="00111535">
              <w:rPr>
                <w:b/>
                <w:bCs/>
              </w:rPr>
              <w:t xml:space="preserve">Teritorijų planavimas </w:t>
            </w:r>
            <w:r w:rsidRPr="00111535">
              <w:rPr>
                <w:bCs/>
              </w:rPr>
              <w:t>yra nustatyta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w:t>
            </w:r>
          </w:p>
        </w:tc>
      </w:tr>
      <w:tr w:rsidR="00111535" w:rsidRPr="00111535" w:rsidTr="00111535">
        <w:tblPrEx>
          <w:tblCellMar>
            <w:left w:w="108" w:type="dxa"/>
            <w:bottom w:w="0" w:type="dxa"/>
            <w:right w:w="108" w:type="dxa"/>
          </w:tblCellMar>
        </w:tblPrEx>
        <w:trPr>
          <w:trHeight w:val="275"/>
        </w:trPr>
        <w:tc>
          <w:tcPr>
            <w:tcW w:w="1843" w:type="dxa"/>
            <w:tcBorders>
              <w:top w:val="single" w:sz="4" w:space="0" w:color="auto"/>
              <w:left w:val="single" w:sz="6" w:space="0" w:color="000000"/>
              <w:bottom w:val="single" w:sz="6" w:space="0" w:color="000000"/>
              <w:right w:val="single" w:sz="6" w:space="0" w:color="000000"/>
            </w:tcBorders>
            <w:shd w:val="clear" w:color="auto" w:fill="FF9933"/>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t>VEIKIANČIOJI PUSĖ</w:t>
            </w:r>
          </w:p>
        </w:tc>
        <w:tc>
          <w:tcPr>
            <w:tcW w:w="7229" w:type="dxa"/>
            <w:tcBorders>
              <w:top w:val="single" w:sz="4" w:space="0" w:color="auto"/>
              <w:left w:val="single" w:sz="6" w:space="0" w:color="000000"/>
              <w:bottom w:val="single" w:sz="6" w:space="0" w:color="000000"/>
              <w:right w:val="single" w:sz="6" w:space="0" w:color="000000"/>
            </w:tcBorders>
            <w:shd w:val="clear" w:color="auto" w:fill="FF9933"/>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t>POZICIJOS, TEIGINIAI</w:t>
            </w:r>
          </w:p>
        </w:tc>
      </w:tr>
      <w:tr w:rsidR="00111535" w:rsidRPr="00111535" w:rsidTr="00111535">
        <w:tblPrEx>
          <w:tblCellMar>
            <w:left w:w="108" w:type="dxa"/>
            <w:bottom w:w="0" w:type="dxa"/>
            <w:right w:w="108" w:type="dxa"/>
          </w:tblCellMar>
        </w:tblPrEx>
        <w:trPr>
          <w:trHeight w:val="553"/>
        </w:trPr>
        <w:tc>
          <w:tcPr>
            <w:tcW w:w="1843" w:type="dxa"/>
            <w:tcBorders>
              <w:top w:val="single" w:sz="6" w:space="0" w:color="000000"/>
              <w:left w:val="single" w:sz="6" w:space="0" w:color="000000"/>
              <w:bottom w:val="single" w:sz="6" w:space="0" w:color="000000"/>
              <w:right w:val="single" w:sz="6" w:space="0" w:color="000000"/>
            </w:tcBorders>
            <w:tcMar>
              <w:top w:w="0" w:type="dxa"/>
              <w:left w:w="15" w:type="dxa"/>
              <w:bottom w:w="15" w:type="dxa"/>
              <w:right w:w="15" w:type="dxa"/>
            </w:tcMar>
            <w:hideMark/>
          </w:tcPr>
          <w:p w:rsidR="00111535" w:rsidRPr="00111535" w:rsidRDefault="00111535" w:rsidP="00111535">
            <w:pPr>
              <w:tabs>
                <w:tab w:val="left" w:pos="738"/>
              </w:tabs>
              <w:spacing w:after="0" w:line="240" w:lineRule="auto"/>
              <w:contextualSpacing/>
              <w:textAlignment w:val="baseline"/>
              <w:rPr>
                <w:rFonts w:eastAsia="Times New Roman" w:cs="Arial"/>
                <w:b/>
                <w:color w:val="000000"/>
                <w:lang w:eastAsia="lt-LT"/>
              </w:rPr>
            </w:pPr>
            <w:r w:rsidRPr="00111535">
              <w:rPr>
                <w:rFonts w:eastAsia="Times New Roman" w:cs="Arial"/>
                <w:b/>
                <w:color w:val="000000"/>
                <w:lang w:eastAsia="lt-LT"/>
              </w:rPr>
              <w:t>Panevėžio miesto savivaldybė</w:t>
            </w:r>
          </w:p>
        </w:tc>
        <w:tc>
          <w:tcPr>
            <w:tcW w:w="7229" w:type="dxa"/>
            <w:tcBorders>
              <w:top w:val="single" w:sz="2" w:space="0" w:color="000000"/>
              <w:left w:val="single" w:sz="6" w:space="0" w:color="000000"/>
              <w:bottom w:val="single" w:sz="6" w:space="0" w:color="000000"/>
              <w:right w:val="single" w:sz="6" w:space="0" w:color="000000"/>
            </w:tcBorders>
            <w:tcMar>
              <w:top w:w="0" w:type="dxa"/>
              <w:left w:w="15" w:type="dxa"/>
              <w:bottom w:w="15" w:type="dxa"/>
              <w:right w:w="15" w:type="dxa"/>
            </w:tcMar>
            <w:hideMark/>
          </w:tcPr>
          <w:p w:rsidR="00111535" w:rsidRPr="00111535" w:rsidRDefault="00111535" w:rsidP="00111535">
            <w:pPr>
              <w:autoSpaceDE w:val="0"/>
              <w:autoSpaceDN w:val="0"/>
              <w:adjustRightInd w:val="0"/>
              <w:spacing w:after="0" w:line="240" w:lineRule="auto"/>
              <w:jc w:val="both"/>
              <w:rPr>
                <w:rFonts w:eastAsia="Times New Roman" w:cs="Times New Roman"/>
                <w:lang w:eastAsia="lt-LT"/>
              </w:rPr>
            </w:pPr>
            <w:r w:rsidRPr="00111535">
              <w:rPr>
                <w:rFonts w:eastAsia="Times New Roman" w:cs="Times New Roman"/>
                <w:lang w:eastAsia="lt-LT"/>
              </w:rPr>
              <w:t xml:space="preserve">Siūlo regioninį sąvartyną įrengti išplečiant esamo Panevėžio sąvartyno sklypą šiaurės kryptimi, ten įrengiant naujas sekcijas, nesusietas su esamu sąvartynu, tačiau maksimaliai išnaudojant esamą infrastruktūrą ir efektyviai panaudojant sąvartyno dujas energijos gamybos tikslais. </w:t>
            </w:r>
            <w:r w:rsidRPr="00111535">
              <w:rPr>
                <w:rFonts w:eastAsia="Times New Roman" w:cs="Times New Roman"/>
                <w:noProof/>
                <w:lang w:eastAsia="lt-LT"/>
              </w:rPr>
              <mc:AlternateContent>
                <mc:Choice Requires="wps">
                  <w:drawing>
                    <wp:anchor distT="0" distB="0" distL="114300" distR="114300" simplePos="0" relativeHeight="251661312" behindDoc="0" locked="0" layoutInCell="1" allowOverlap="1" wp14:anchorId="50715A71" wp14:editId="27A781EF">
                      <wp:simplePos x="0" y="0"/>
                      <wp:positionH relativeFrom="column">
                        <wp:posOffset>479</wp:posOffset>
                      </wp:positionH>
                      <wp:positionV relativeFrom="paragraph">
                        <wp:posOffset>10723</wp:posOffset>
                      </wp:positionV>
                      <wp:extent cx="2070339" cy="310551"/>
                      <wp:effectExtent l="0" t="0" r="25400" b="13335"/>
                      <wp:wrapNone/>
                      <wp:docPr id="15" name="Rectangle 15"/>
                      <wp:cNvGraphicFramePr/>
                      <a:graphic xmlns:a="http://schemas.openxmlformats.org/drawingml/2006/main">
                        <a:graphicData uri="http://schemas.microsoft.com/office/word/2010/wordprocessingShape">
                          <wps:wsp>
                            <wps:cNvSpPr/>
                            <wps:spPr>
                              <a:xfrm>
                                <a:off x="0" y="0"/>
                                <a:ext cx="2070339" cy="31055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535" w:rsidRPr="008D0F1C" w:rsidRDefault="00111535" w:rsidP="00111535">
                                  <w:pPr>
                                    <w:jc w:val="center"/>
                                    <w:rPr>
                                      <w:color w:val="000000" w:themeColor="text1"/>
                                    </w:rPr>
                                  </w:pPr>
                                  <w:r w:rsidRPr="008D0F1C">
                                    <w:rPr>
                                      <w:color w:val="000000" w:themeColor="text1"/>
                                    </w:rPr>
                                    <w:t>Planuojamos ūkinės veiklos vieta</w:t>
                                  </w:r>
                                </w:p>
                                <w:p w:rsidR="00111535" w:rsidRPr="008D0F1C" w:rsidRDefault="00111535" w:rsidP="001115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5A71" id="Rectangle 15" o:spid="_x0000_s1026" style="position:absolute;left:0;text-align:left;margin-left:.05pt;margin-top:.85pt;width:163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" fillcolor="white [3212]" strokecolor="red" strokeweight="1pt">
                      <v:textbox>
                        <w:txbxContent>
                          <w:p w:rsidR="00111535" w:rsidRPr="008D0F1C" w:rsidRDefault="00111535" w:rsidP="00111535">
                            <w:pPr>
                              <w:jc w:val="center"/>
                              <w:rPr>
                                <w:color w:val="000000" w:themeColor="text1"/>
                              </w:rPr>
                            </w:pPr>
                            <w:r w:rsidRPr="008D0F1C">
                              <w:rPr>
                                <w:color w:val="000000" w:themeColor="text1"/>
                              </w:rPr>
                              <w:t>Planuojamos ūkinės veiklos vieta</w:t>
                            </w:r>
                          </w:p>
                          <w:p w:rsidR="00111535" w:rsidRPr="008D0F1C" w:rsidRDefault="00111535" w:rsidP="00111535">
                            <w:pPr>
                              <w:jc w:val="center"/>
                              <w:rPr>
                                <w:color w:val="000000" w:themeColor="text1"/>
                              </w:rPr>
                            </w:pPr>
                          </w:p>
                        </w:txbxContent>
                      </v:textbox>
                    </v:rect>
                  </w:pict>
                </mc:Fallback>
              </mc:AlternateContent>
            </w:r>
            <w:r w:rsidRPr="00111535">
              <w:rPr>
                <w:rFonts w:eastAsia="Times New Roman" w:cs="Times New Roman"/>
                <w:noProof/>
                <w:lang w:eastAsia="lt-LT"/>
              </w:rPr>
              <mc:AlternateContent>
                <mc:Choice Requires="wps">
                  <w:drawing>
                    <wp:anchor distT="0" distB="0" distL="114300" distR="114300" simplePos="0" relativeHeight="251664384" behindDoc="0" locked="0" layoutInCell="1" allowOverlap="1" wp14:anchorId="60308257" wp14:editId="40053F9D">
                      <wp:simplePos x="0" y="0"/>
                      <wp:positionH relativeFrom="column">
                        <wp:posOffset>2803741</wp:posOffset>
                      </wp:positionH>
                      <wp:positionV relativeFrom="paragraph">
                        <wp:posOffset>1046167</wp:posOffset>
                      </wp:positionV>
                      <wp:extent cx="370312" cy="1992571"/>
                      <wp:effectExtent l="76200" t="38100" r="29845" b="8255"/>
                      <wp:wrapNone/>
                      <wp:docPr id="18" name="Straight Arrow Connector 18"/>
                      <wp:cNvGraphicFramePr/>
                      <a:graphic xmlns:a="http://schemas.openxmlformats.org/drawingml/2006/main">
                        <a:graphicData uri="http://schemas.microsoft.com/office/word/2010/wordprocessingShape">
                          <wps:wsp>
                            <wps:cNvCnPr/>
                            <wps:spPr>
                              <a:xfrm flipH="1" flipV="1">
                                <a:off x="0" y="0"/>
                                <a:ext cx="370312" cy="199257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07F9C" id="_x0000_t32" coordsize="21600,21600" o:spt="32" o:oned="t" path="m,l21600,21600e" filled="f">
                      <v:path arrowok="t" fillok="f" o:connecttype="none"/>
                      <o:lock v:ext="edit" shapetype="t"/>
                    </v:shapetype>
                    <v:shape id="Straight Arrow Connector 18" o:spid="_x0000_s1026" type="#_x0000_t32" style="position:absolute;margin-left:220.75pt;margin-top:82.4pt;width:29.15pt;height:156.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" strokecolor="red" strokeweight="2.25pt">
                      <v:stroke endarrow="block" joinstyle="miter"/>
                    </v:shape>
                  </w:pict>
                </mc:Fallback>
              </mc:AlternateContent>
            </w:r>
            <w:r w:rsidRPr="00111535">
              <w:rPr>
                <w:rFonts w:eastAsia="Times New Roman" w:cs="Times New Roman"/>
                <w:noProof/>
                <w:lang w:eastAsia="lt-LT"/>
              </w:rPr>
              <mc:AlternateContent>
                <mc:Choice Requires="wps">
                  <w:drawing>
                    <wp:anchor distT="0" distB="0" distL="114300" distR="114300" simplePos="0" relativeHeight="251663360" behindDoc="0" locked="0" layoutInCell="1" allowOverlap="1" wp14:anchorId="2466351E" wp14:editId="00107387">
                      <wp:simplePos x="0" y="0"/>
                      <wp:positionH relativeFrom="column">
                        <wp:posOffset>2760610</wp:posOffset>
                      </wp:positionH>
                      <wp:positionV relativeFrom="paragraph">
                        <wp:posOffset>3056123</wp:posOffset>
                      </wp:positionV>
                      <wp:extent cx="2146264" cy="284061"/>
                      <wp:effectExtent l="0" t="0" r="26035" b="20955"/>
                      <wp:wrapNone/>
                      <wp:docPr id="17" name="Rectangle 17"/>
                      <wp:cNvGraphicFramePr/>
                      <a:graphic xmlns:a="http://schemas.openxmlformats.org/drawingml/2006/main">
                        <a:graphicData uri="http://schemas.microsoft.com/office/word/2010/wordprocessingShape">
                          <wps:wsp>
                            <wps:cNvSpPr/>
                            <wps:spPr>
                              <a:xfrm>
                                <a:off x="0" y="0"/>
                                <a:ext cx="2146264" cy="2840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535" w:rsidRPr="008D0F1C" w:rsidRDefault="00111535" w:rsidP="00111535">
                                  <w:pPr>
                                    <w:jc w:val="center"/>
                                    <w:rPr>
                                      <w:color w:val="000000" w:themeColor="text1"/>
                                    </w:rPr>
                                  </w:pPr>
                                  <w:r w:rsidRPr="008D0F1C">
                                    <w:rPr>
                                      <w:color w:val="000000" w:themeColor="text1"/>
                                    </w:rPr>
                                    <w:t xml:space="preserve">Esamas </w:t>
                                  </w:r>
                                  <w:proofErr w:type="spellStart"/>
                                  <w:r w:rsidRPr="008D0F1C">
                                    <w:rPr>
                                      <w:color w:val="000000" w:themeColor="text1"/>
                                    </w:rPr>
                                    <w:t>Panevęžio</w:t>
                                  </w:r>
                                  <w:proofErr w:type="spellEnd"/>
                                  <w:r w:rsidRPr="008D0F1C">
                                    <w:rPr>
                                      <w:color w:val="000000" w:themeColor="text1"/>
                                    </w:rPr>
                                    <w:t xml:space="preserve"> sąvartynas </w:t>
                                  </w:r>
                                </w:p>
                                <w:p w:rsidR="00111535" w:rsidRPr="008D0F1C" w:rsidRDefault="00111535" w:rsidP="001115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351E" id="Rectangle 17" o:spid="_x0000_s1027" style="position:absolute;left:0;text-align:left;margin-left:217.35pt;margin-top:240.65pt;width:169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" fillcolor="white [3212]" strokecolor="#1f4d78 [1604]" strokeweight="1pt">
                      <v:textbox>
                        <w:txbxContent>
                          <w:p w:rsidR="00111535" w:rsidRPr="008D0F1C" w:rsidRDefault="00111535" w:rsidP="00111535">
                            <w:pPr>
                              <w:jc w:val="center"/>
                              <w:rPr>
                                <w:color w:val="000000" w:themeColor="text1"/>
                              </w:rPr>
                            </w:pPr>
                            <w:r w:rsidRPr="008D0F1C">
                              <w:rPr>
                                <w:color w:val="000000" w:themeColor="text1"/>
                              </w:rPr>
                              <w:t xml:space="preserve">Esamas </w:t>
                            </w:r>
                            <w:proofErr w:type="spellStart"/>
                            <w:r w:rsidRPr="008D0F1C">
                              <w:rPr>
                                <w:color w:val="000000" w:themeColor="text1"/>
                              </w:rPr>
                              <w:t>Panevęžio</w:t>
                            </w:r>
                            <w:proofErr w:type="spellEnd"/>
                            <w:r w:rsidRPr="008D0F1C">
                              <w:rPr>
                                <w:color w:val="000000" w:themeColor="text1"/>
                              </w:rPr>
                              <w:t xml:space="preserve"> sąvartynas </w:t>
                            </w:r>
                          </w:p>
                          <w:p w:rsidR="00111535" w:rsidRPr="008D0F1C" w:rsidRDefault="00111535" w:rsidP="00111535">
                            <w:pPr>
                              <w:jc w:val="center"/>
                              <w:rPr>
                                <w:color w:val="000000" w:themeColor="text1"/>
                              </w:rPr>
                            </w:pPr>
                          </w:p>
                        </w:txbxContent>
                      </v:textbox>
                    </v:rect>
                  </w:pict>
                </mc:Fallback>
              </mc:AlternateContent>
            </w:r>
            <w:r w:rsidRPr="00111535">
              <w:rPr>
                <w:rFonts w:eastAsia="Times New Roman" w:cs="Times New Roman"/>
                <w:noProof/>
                <w:lang w:eastAsia="lt-LT"/>
              </w:rPr>
              <mc:AlternateContent>
                <mc:Choice Requires="wps">
                  <w:drawing>
                    <wp:anchor distT="0" distB="0" distL="114300" distR="114300" simplePos="0" relativeHeight="251662336" behindDoc="0" locked="0" layoutInCell="1" allowOverlap="1" wp14:anchorId="122CBB4B" wp14:editId="5919D708">
                      <wp:simplePos x="0" y="0"/>
                      <wp:positionH relativeFrom="column">
                        <wp:posOffset>2087509</wp:posOffset>
                      </wp:positionH>
                      <wp:positionV relativeFrom="paragraph">
                        <wp:posOffset>321514</wp:posOffset>
                      </wp:positionV>
                      <wp:extent cx="655847" cy="534873"/>
                      <wp:effectExtent l="19050" t="19050" r="68580" b="55880"/>
                      <wp:wrapNone/>
                      <wp:docPr id="16" name="Straight Arrow Connector 16"/>
                      <wp:cNvGraphicFramePr/>
                      <a:graphic xmlns:a="http://schemas.openxmlformats.org/drawingml/2006/main">
                        <a:graphicData uri="http://schemas.microsoft.com/office/word/2010/wordprocessingShape">
                          <wps:wsp>
                            <wps:cNvCnPr/>
                            <wps:spPr>
                              <a:xfrm>
                                <a:off x="0" y="0"/>
                                <a:ext cx="655847" cy="534873"/>
                              </a:xfrm>
                              <a:prstGeom prst="straightConnector1">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C5B43" id="Straight Arrow Connector 16" o:spid="_x0000_s1026" type="#_x0000_t32" style="position:absolute;margin-left:164.35pt;margin-top:25.3pt;width:51.65pt;height:4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" strokecolor="red" strokeweight="2.25pt">
                      <v:stroke endarrow="block" joinstyle="miter"/>
                    </v:shape>
                  </w:pict>
                </mc:Fallback>
              </mc:AlternateContent>
            </w:r>
            <w:r w:rsidRPr="00111535">
              <w:rPr>
                <w:rFonts w:eastAsia="Times New Roman" w:cs="Times New Roman"/>
                <w:noProof/>
                <w:lang w:eastAsia="lt-LT"/>
              </w:rPr>
              <mc:AlternateContent>
                <mc:Choice Requires="wps">
                  <w:drawing>
                    <wp:anchor distT="0" distB="0" distL="114300" distR="114300" simplePos="0" relativeHeight="251660288" behindDoc="0" locked="0" layoutInCell="1" allowOverlap="1" wp14:anchorId="4F5B2A89" wp14:editId="777BAF38">
                      <wp:simplePos x="0" y="0"/>
                      <wp:positionH relativeFrom="column">
                        <wp:posOffset>2700224</wp:posOffset>
                      </wp:positionH>
                      <wp:positionV relativeFrom="paragraph">
                        <wp:posOffset>839135</wp:posOffset>
                      </wp:positionV>
                      <wp:extent cx="310551" cy="103517"/>
                      <wp:effectExtent l="0" t="0" r="13335" b="10795"/>
                      <wp:wrapNone/>
                      <wp:docPr id="14" name="Rectangle 14"/>
                      <wp:cNvGraphicFramePr/>
                      <a:graphic xmlns:a="http://schemas.openxmlformats.org/drawingml/2006/main">
                        <a:graphicData uri="http://schemas.microsoft.com/office/word/2010/wordprocessingShape">
                          <wps:wsp>
                            <wps:cNvSpPr/>
                            <wps:spPr>
                              <a:xfrm>
                                <a:off x="0" y="0"/>
                                <a:ext cx="310551" cy="10351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BF888" id="Rectangle 14" o:spid="_x0000_s1026" style="position:absolute;margin-left:212.6pt;margin-top:66.05pt;width:24.45pt;height: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" fillcolor="red" strokecolor="red" strokeweight="1pt"/>
                  </w:pict>
                </mc:Fallback>
              </mc:AlternateContent>
            </w:r>
            <w:r w:rsidRPr="00111535">
              <w:rPr>
                <w:rFonts w:eastAsia="Times New Roman" w:cs="Times New Roman"/>
                <w:noProof/>
                <w:lang w:eastAsia="lt-LT"/>
              </w:rPr>
              <w:drawing>
                <wp:inline distT="0" distB="0" distL="0" distR="0" wp14:anchorId="5EFDF54C" wp14:editId="4FB84B7C">
                  <wp:extent cx="4907533" cy="33274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5275" cy="3352990"/>
                          </a:xfrm>
                          <a:prstGeom prst="rect">
                            <a:avLst/>
                          </a:prstGeom>
                          <a:noFill/>
                        </pic:spPr>
                      </pic:pic>
                    </a:graphicData>
                  </a:graphic>
                </wp:inline>
              </w:drawing>
            </w:r>
            <w:r w:rsidRPr="00111535">
              <w:rPr>
                <w:rFonts w:eastAsia="Times New Roman" w:cs="Times New Roman"/>
                <w:lang w:eastAsia="lt-LT"/>
              </w:rPr>
              <w:t>Dalis greta nagrinėjamo sklypo esančio Panevėžio m. sąvartyno infrastruktūros yra visai neseniai įrengta ir gali būti išlaikyta bei pritaikyta naujai įrengiamo sąvartyno veiklai. Teritorijoje nėra gyvenamos paskirties objektų, analogiška veikla čia vykdoma jau daug metų.</w:t>
            </w:r>
          </w:p>
        </w:tc>
      </w:tr>
      <w:tr w:rsidR="00111535" w:rsidRPr="00111535" w:rsidTr="00111535">
        <w:tblPrEx>
          <w:tblCellMar>
            <w:left w:w="108" w:type="dxa"/>
            <w:bottom w:w="0" w:type="dxa"/>
            <w:right w:w="108" w:type="dxa"/>
          </w:tblCellMar>
        </w:tblPrEx>
        <w:trPr>
          <w:trHeight w:val="553"/>
        </w:trPr>
        <w:tc>
          <w:tcPr>
            <w:tcW w:w="1843" w:type="dxa"/>
            <w:tcBorders>
              <w:top w:val="single" w:sz="6" w:space="0" w:color="000000"/>
              <w:left w:val="single" w:sz="6" w:space="0" w:color="000000"/>
              <w:bottom w:val="single" w:sz="6" w:space="0" w:color="000000"/>
              <w:right w:val="single" w:sz="6" w:space="0" w:color="000000"/>
            </w:tcBorders>
            <w:tcMar>
              <w:top w:w="0" w:type="dxa"/>
              <w:left w:w="15" w:type="dxa"/>
              <w:bottom w:w="15" w:type="dxa"/>
              <w:right w:w="15" w:type="dxa"/>
            </w:tcMar>
          </w:tcPr>
          <w:p w:rsidR="00111535" w:rsidRPr="00111535" w:rsidRDefault="00111535" w:rsidP="00111535">
            <w:pPr>
              <w:tabs>
                <w:tab w:val="left" w:pos="738"/>
              </w:tabs>
              <w:spacing w:after="0" w:line="240" w:lineRule="auto"/>
              <w:contextualSpacing/>
              <w:textAlignment w:val="baseline"/>
              <w:rPr>
                <w:rFonts w:eastAsia="Times New Roman" w:cs="Arial"/>
                <w:b/>
                <w:color w:val="000000"/>
                <w:lang w:eastAsia="lt-LT"/>
              </w:rPr>
            </w:pPr>
            <w:r w:rsidRPr="00111535">
              <w:rPr>
                <w:rFonts w:eastAsia="Times New Roman" w:cs="Times New Roman"/>
                <w:b/>
                <w:lang w:eastAsia="lt-LT"/>
              </w:rPr>
              <w:t>Panevėžio rajono savivaldybė</w:t>
            </w:r>
          </w:p>
        </w:tc>
        <w:tc>
          <w:tcPr>
            <w:tcW w:w="7229" w:type="dxa"/>
            <w:tcBorders>
              <w:top w:val="single" w:sz="2" w:space="0" w:color="000000"/>
              <w:left w:val="single" w:sz="6" w:space="0" w:color="000000"/>
              <w:bottom w:val="single" w:sz="6" w:space="0" w:color="000000"/>
              <w:right w:val="single" w:sz="6" w:space="0" w:color="000000"/>
            </w:tcBorders>
            <w:tcMar>
              <w:top w:w="0" w:type="dxa"/>
              <w:left w:w="15" w:type="dxa"/>
              <w:bottom w:w="15" w:type="dxa"/>
              <w:right w:w="15" w:type="dxa"/>
            </w:tcMar>
          </w:tcPr>
          <w:p w:rsidR="00111535" w:rsidRPr="00111535" w:rsidRDefault="00111535" w:rsidP="00111535">
            <w:pPr>
              <w:autoSpaceDE w:val="0"/>
              <w:autoSpaceDN w:val="0"/>
              <w:adjustRightInd w:val="0"/>
              <w:spacing w:after="0" w:line="240" w:lineRule="auto"/>
              <w:jc w:val="both"/>
              <w:rPr>
                <w:rFonts w:eastAsia="Times New Roman" w:cs="Times New Roman"/>
                <w:lang w:eastAsia="lt-LT"/>
              </w:rPr>
            </w:pPr>
            <w:r w:rsidRPr="00111535">
              <w:rPr>
                <w:rFonts w:eastAsia="Times New Roman" w:cs="Times New Roman"/>
                <w:lang w:eastAsia="lt-LT"/>
              </w:rPr>
              <w:t xml:space="preserve">Artimiausiai nuo esamo sąvartyno gyventojai gyvena už 0,7 km esančioje Miežiškių seniūnijoje, už miško ribos. Nuo planuojamo įrengti  sąvartyno atstumas iki artimiausių gyventojų yra šiek tiek didesnis – virš 0,7 km. </w:t>
            </w:r>
            <w:r w:rsidRPr="00111535">
              <w:rPr>
                <w:rFonts w:eastAsia="Times New Roman" w:cs="Times New Roman"/>
                <w:bCs/>
                <w:lang w:eastAsia="lt-LT"/>
              </w:rPr>
              <w:t>Nėra gyvenančiųjų sąvartyno sanitarinės apsaugos zonos ribose, bei n</w:t>
            </w:r>
            <w:r w:rsidRPr="00111535">
              <w:rPr>
                <w:rFonts w:eastAsia="Times New Roman" w:cs="Times New Roman"/>
                <w:lang w:eastAsia="lt-LT"/>
              </w:rPr>
              <w:t xml:space="preserve">ėra gyventojų sklypų, besiribojančių su sąvartyno sanitarinės apsaugos zona. </w:t>
            </w:r>
            <w:proofErr w:type="spellStart"/>
            <w:r w:rsidRPr="00111535">
              <w:rPr>
                <w:rFonts w:eastAsia="Times New Roman" w:cs="Times New Roman"/>
                <w:lang w:eastAsia="lt-LT"/>
              </w:rPr>
              <w:t>Liūdynės</w:t>
            </w:r>
            <w:proofErr w:type="spellEnd"/>
            <w:r w:rsidRPr="00111535">
              <w:rPr>
                <w:rFonts w:eastAsia="Times New Roman" w:cs="Times New Roman"/>
                <w:lang w:eastAsia="lt-LT"/>
              </w:rPr>
              <w:t xml:space="preserve"> gyvenvietė, kurios gyventojai reiškia nepasitenkinimą esamu sąvartynu ir nenori jo plėtros, yra daugiau nei už 1,7 km nuo esamo sąvartyno (atstumas nuo gyvenvietės iki numatomo sąvartyno kaupo būtų dar didesnis, nes šis sąvartynas būtų įrengiamas už jau esamo, o atliekų kaupai nenumatomi sujungti).</w:t>
            </w:r>
          </w:p>
        </w:tc>
      </w:tr>
      <w:tr w:rsidR="00111535" w:rsidRPr="00111535" w:rsidTr="00111535">
        <w:tblPrEx>
          <w:tblCellMar>
            <w:left w:w="108" w:type="dxa"/>
            <w:bottom w:w="0" w:type="dxa"/>
            <w:right w:w="108" w:type="dxa"/>
          </w:tblCellMar>
        </w:tblPrEx>
        <w:trPr>
          <w:trHeight w:val="553"/>
        </w:trPr>
        <w:tc>
          <w:tcPr>
            <w:tcW w:w="9072" w:type="dxa"/>
            <w:gridSpan w:val="2"/>
            <w:tcBorders>
              <w:top w:val="single" w:sz="6" w:space="0" w:color="000000"/>
              <w:left w:val="single" w:sz="6" w:space="0" w:color="000000"/>
              <w:bottom w:val="single" w:sz="6" w:space="0" w:color="000000"/>
              <w:right w:val="single" w:sz="6" w:space="0" w:color="000000"/>
            </w:tcBorders>
            <w:tcMar>
              <w:top w:w="0" w:type="dxa"/>
              <w:left w:w="15" w:type="dxa"/>
              <w:bottom w:w="15" w:type="dxa"/>
              <w:right w:w="15" w:type="dxa"/>
            </w:tcMar>
          </w:tcPr>
          <w:p w:rsidR="00111535" w:rsidRPr="00111535" w:rsidRDefault="00111535" w:rsidP="00111535">
            <w:pPr>
              <w:autoSpaceDE w:val="0"/>
              <w:autoSpaceDN w:val="0"/>
              <w:adjustRightInd w:val="0"/>
              <w:spacing w:after="0" w:line="240" w:lineRule="auto"/>
              <w:jc w:val="both"/>
              <w:rPr>
                <w:rFonts w:eastAsia="Times New Roman" w:cs="Times New Roman"/>
                <w:bCs/>
                <w:lang w:eastAsia="lt-LT"/>
              </w:rPr>
            </w:pPr>
            <w:r w:rsidRPr="00111535">
              <w:rPr>
                <w:rFonts w:eastAsia="Times New Roman" w:cs="Times New Roman"/>
                <w:b/>
                <w:lang w:eastAsia="lt-LT"/>
              </w:rPr>
              <w:t xml:space="preserve">Panevėžio regioninės atliekų tvarkymo sistemos plėtra. </w:t>
            </w:r>
            <w:r w:rsidRPr="00111535">
              <w:rPr>
                <w:rFonts w:eastAsia="Times New Roman" w:cs="Times New Roman"/>
                <w:b/>
                <w:bCs/>
                <w:lang w:eastAsia="lt-LT"/>
              </w:rPr>
              <w:t>Regioninio nepavojingų atliekų  sąvartyno įrengimas, PAV a</w:t>
            </w:r>
            <w:r w:rsidRPr="00111535">
              <w:rPr>
                <w:rFonts w:eastAsia="Times New Roman" w:cs="Times New Roman"/>
                <w:b/>
                <w:lang w:eastAsia="lt-LT"/>
              </w:rPr>
              <w:t>taskaita:</w:t>
            </w:r>
          </w:p>
          <w:p w:rsidR="00111535" w:rsidRPr="00111535" w:rsidRDefault="00111535" w:rsidP="00111535">
            <w:pPr>
              <w:autoSpaceDE w:val="0"/>
              <w:autoSpaceDN w:val="0"/>
              <w:adjustRightInd w:val="0"/>
              <w:spacing w:after="0" w:line="240" w:lineRule="auto"/>
              <w:jc w:val="both"/>
              <w:rPr>
                <w:rFonts w:eastAsia="Times New Roman" w:cs="Times New Roman"/>
                <w:lang w:eastAsia="lt-LT"/>
              </w:rPr>
            </w:pPr>
            <w:r w:rsidRPr="00111535">
              <w:rPr>
                <w:rFonts w:eastAsia="Times New Roman" w:cs="Times New Roman"/>
                <w:lang w:eastAsia="lt-LT"/>
              </w:rPr>
              <w:t xml:space="preserve">Atstumas nuo iki aplinkosauginiu požiūriu jautrių zonų: iki gyvenvietės 1,700 m (700 m iki atskirų gyvenamųjų  namų),  iki vandens ėmimo gręžinio – 5000 m, iki paviršinių vandens telkinių – 1800 m (200 m iki </w:t>
            </w:r>
            <w:proofErr w:type="spellStart"/>
            <w:r w:rsidRPr="00111535">
              <w:rPr>
                <w:rFonts w:eastAsia="Times New Roman" w:cs="Times New Roman"/>
                <w:lang w:eastAsia="lt-LT"/>
              </w:rPr>
              <w:t>Aulamo</w:t>
            </w:r>
            <w:proofErr w:type="spellEnd"/>
            <w:r w:rsidRPr="00111535">
              <w:rPr>
                <w:rFonts w:eastAsia="Times New Roman" w:cs="Times New Roman"/>
                <w:lang w:eastAsia="lt-LT"/>
              </w:rPr>
              <w:t xml:space="preserve"> upelio, esančio greta  esamo sąvartyno), iki dirbamos žemės  - 1000 m. Saugomų gamtos paminklų (įskaitant NATURA 2000 numatytas vietoves), retų ir saugomų augmenijos rūšių augimo vietos, vertingų biotopų, retų ir saugomų gyvūnų ar paukščių rūšių, saugomų geologinių objektų, svarbių rekreacinių vietų, kultūrinio paveldo objektų, archeologinių ir istorinių paminklų nėra</w:t>
            </w:r>
            <w:r w:rsidRPr="00111535">
              <w:rPr>
                <w:rFonts w:eastAsia="Times New Roman" w:cs="Times New Roman"/>
                <w:lang w:eastAsia="lt-LT"/>
              </w:rPr>
              <w:fldChar w:fldCharType="begin"/>
            </w:r>
            <w:r w:rsidRPr="00111535">
              <w:rPr>
                <w:rFonts w:eastAsia="Times New Roman" w:cs="Times New Roman"/>
                <w:lang w:eastAsia="lt-LT"/>
              </w:rPr>
              <w:instrText xml:space="preserve"> NOTEREF _Ref435780091 \f \h  \* MERGEFORMAT </w:instrText>
            </w:r>
            <w:r w:rsidRPr="00111535">
              <w:rPr>
                <w:rFonts w:eastAsia="Times New Roman" w:cs="Times New Roman"/>
                <w:lang w:eastAsia="lt-LT"/>
              </w:rPr>
            </w:r>
            <w:r w:rsidRPr="00111535">
              <w:rPr>
                <w:rFonts w:eastAsia="Times New Roman" w:cs="Times New Roman"/>
                <w:lang w:eastAsia="lt-LT"/>
              </w:rPr>
              <w:fldChar w:fldCharType="separate"/>
            </w:r>
            <w:r w:rsidRPr="00111535">
              <w:rPr>
                <w:rStyle w:val="FootnoteReference"/>
              </w:rPr>
              <w:t>1</w:t>
            </w:r>
            <w:r w:rsidRPr="00111535">
              <w:rPr>
                <w:rFonts w:eastAsia="Times New Roman" w:cs="Times New Roman"/>
                <w:lang w:eastAsia="lt-LT"/>
              </w:rPr>
              <w:fldChar w:fldCharType="end"/>
            </w:r>
            <w:r w:rsidRPr="00111535">
              <w:rPr>
                <w:rFonts w:eastAsia="Times New Roman" w:cs="Times New Roman"/>
                <w:lang w:eastAsia="lt-LT"/>
              </w:rPr>
              <w:t>.</w:t>
            </w:r>
          </w:p>
        </w:tc>
      </w:tr>
      <w:tr w:rsidR="00111535" w:rsidRPr="00111535" w:rsidTr="0011153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1535" w:rsidRPr="00111535" w:rsidRDefault="00111535" w:rsidP="00111535">
            <w:pPr>
              <w:spacing w:after="0" w:line="240" w:lineRule="auto"/>
              <w:jc w:val="center"/>
              <w:rPr>
                <w:rFonts w:eastAsia="Times New Roman" w:cs="Times New Roman"/>
                <w:b/>
                <w:bCs/>
                <w:color w:val="000000"/>
                <w:shd w:val="clear" w:color="auto" w:fill="F7CAAC" w:themeFill="accent2" w:themeFillTint="66"/>
                <w:lang w:eastAsia="lt-LT"/>
              </w:rPr>
            </w:pPr>
            <w:r w:rsidRPr="00111535">
              <w:rPr>
                <w:rFonts w:eastAsia="Times New Roman" w:cs="Times New Roman"/>
                <w:b/>
                <w:bCs/>
                <w:color w:val="000000"/>
                <w:shd w:val="clear" w:color="auto" w:fill="F7CAAC" w:themeFill="accent2" w:themeFillTint="66"/>
                <w:lang w:eastAsia="lt-LT"/>
              </w:rPr>
              <w:lastRenderedPageBreak/>
              <w:t>GINČO OBJEKTAS/NESUTARIMAS</w:t>
            </w:r>
          </w:p>
        </w:tc>
      </w:tr>
      <w:tr w:rsidR="00111535" w:rsidRPr="00111535" w:rsidTr="0011153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rsidR="00111535" w:rsidRPr="00111535" w:rsidRDefault="00111535" w:rsidP="00111535">
            <w:pPr>
              <w:spacing w:after="0" w:line="240" w:lineRule="auto"/>
              <w:jc w:val="center"/>
              <w:rPr>
                <w:rFonts w:eastAsia="Times New Roman" w:cs="Times New Roman"/>
                <w:lang w:eastAsia="lt-LT"/>
              </w:rPr>
            </w:pPr>
            <w:r w:rsidRPr="00111535">
              <w:rPr>
                <w:rFonts w:eastAsia="Times New Roman" w:cs="Times New Roman"/>
                <w:b/>
                <w:bCs/>
                <w:color w:val="000000"/>
                <w:shd w:val="clear" w:color="auto" w:fill="FBE4D5" w:themeFill="accent2" w:themeFillTint="33"/>
                <w:lang w:eastAsia="lt-LT"/>
              </w:rPr>
              <w:t>Oro tarša (Aplinkos oras ir klimatas)</w:t>
            </w:r>
          </w:p>
        </w:tc>
      </w:tr>
      <w:tr w:rsidR="00111535" w:rsidRPr="00111535" w:rsidTr="0011153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111535" w:rsidRPr="00111535" w:rsidRDefault="00111535" w:rsidP="00111535">
            <w:pPr>
              <w:spacing w:after="0" w:line="240" w:lineRule="auto"/>
              <w:jc w:val="both"/>
              <w:rPr>
                <w:rFonts w:eastAsia="Times New Roman" w:cs="Times New Roman"/>
                <w:b/>
                <w:bCs/>
                <w:color w:val="000000"/>
                <w:shd w:val="clear" w:color="auto" w:fill="FBE4D5" w:themeFill="accent2" w:themeFillTint="33"/>
                <w:lang w:eastAsia="lt-LT"/>
              </w:rPr>
            </w:pPr>
            <w:r w:rsidRPr="00111535">
              <w:rPr>
                <w:rFonts w:cs="Arial"/>
                <w:b/>
                <w:color w:val="252525"/>
                <w:shd w:val="clear" w:color="auto" w:fill="FBE4D5" w:themeFill="accent2" w:themeFillTint="33"/>
              </w:rPr>
              <w:t>Oro tarša</w:t>
            </w:r>
            <w:r w:rsidRPr="00111535">
              <w:rPr>
                <w:rFonts w:cs="Arial"/>
                <w:color w:val="252525"/>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Pr="00111535">
              <w:rPr>
                <w:rFonts w:cs="Arial"/>
                <w:color w:val="252525"/>
                <w:shd w:val="clear" w:color="auto" w:fill="FBE4D5" w:themeFill="accent2" w:themeFillTint="33"/>
              </w:rPr>
              <w:t>monoksidas</w:t>
            </w:r>
            <w:proofErr w:type="spellEnd"/>
            <w:r w:rsidRPr="00111535">
              <w:rPr>
                <w:rFonts w:cs="Arial"/>
                <w:color w:val="252525"/>
                <w:shd w:val="clear" w:color="auto" w:fill="FBE4D5" w:themeFill="accent2" w:themeFillTint="33"/>
              </w:rPr>
              <w:t xml:space="preserve"> ir kt.). </w:t>
            </w:r>
            <w:r w:rsidRPr="00111535">
              <w:rPr>
                <w:rFonts w:cs="Arial"/>
                <w:color w:val="333333"/>
                <w:shd w:val="clear" w:color="auto" w:fill="FBE4D5" w:themeFill="accent2" w:themeFillTint="33"/>
              </w:rPr>
              <w:t xml:space="preserve">Aplinkos oro užterštumo, ekosistemų ir augmenijos apsaugai nustatytos </w:t>
            </w:r>
            <w:r w:rsidRPr="00111535">
              <w:rPr>
                <w:rFonts w:cs="Arial"/>
                <w:b/>
                <w:color w:val="333333"/>
                <w:shd w:val="clear" w:color="auto" w:fill="FBE4D5" w:themeFill="accent2" w:themeFillTint="33"/>
              </w:rPr>
              <w:t>oro taršos ribinės vertės</w:t>
            </w:r>
            <w:r w:rsidRPr="00111535">
              <w:rPr>
                <w:rFonts w:cs="Arial"/>
                <w:color w:val="333333"/>
                <w:shd w:val="clear" w:color="auto" w:fill="FBE4D5" w:themeFill="accent2" w:themeFillTint="33"/>
              </w:rPr>
              <w:t xml:space="preserve"> (mokslinėmis žiniomis pagrįstas užterštumo lygis, nustatytas siekiant išvengti, užkirsti kelią ir sumažinti kenksmingą</w:t>
            </w:r>
            <w:r w:rsidRPr="00111535">
              <w:rPr>
                <w:rStyle w:val="apple-converted-space"/>
                <w:rFonts w:cs="Arial"/>
                <w:color w:val="333333"/>
                <w:shd w:val="clear" w:color="auto" w:fill="FBE4D5" w:themeFill="accent2" w:themeFillTint="33"/>
              </w:rPr>
              <w:t> </w:t>
            </w:r>
            <w:r w:rsidRPr="00111535">
              <w:rPr>
                <w:rFonts w:cs="Arial"/>
                <w:color w:val="333333"/>
                <w:shd w:val="clear" w:color="auto" w:fill="FBE4D5" w:themeFill="accent2" w:themeFillTint="33"/>
              </w:rPr>
              <w:t>poveikį žmogaus sveikatai ir/ar aplinkai), kurių negalima viršyti nei gyventojui, nei įmonėms.</w:t>
            </w:r>
            <w:r w:rsidRPr="00111535">
              <w:rPr>
                <w:rFonts w:cs="Arial"/>
                <w:color w:val="333333"/>
                <w:shd w:val="clear" w:color="auto" w:fill="FFFFFF"/>
              </w:rPr>
              <w:t xml:space="preserve"> </w:t>
            </w:r>
          </w:p>
        </w:tc>
      </w:tr>
      <w:tr w:rsidR="00111535" w:rsidRPr="00111535" w:rsidTr="00111535">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1535" w:rsidRPr="00111535" w:rsidRDefault="00111535" w:rsidP="00111535">
            <w:pPr>
              <w:spacing w:after="0" w:line="240" w:lineRule="auto"/>
              <w:jc w:val="center"/>
              <w:rPr>
                <w:rFonts w:eastAsia="Times New Roman" w:cs="Times New Roman"/>
                <w:b/>
                <w:bCs/>
                <w:color w:val="000000"/>
                <w:shd w:val="clear" w:color="auto" w:fill="FFFFFF"/>
                <w:lang w:eastAsia="lt-LT"/>
              </w:rPr>
            </w:pPr>
            <w:r w:rsidRPr="00111535">
              <w:rPr>
                <w:rFonts w:eastAsia="Times New Roman" w:cs="Times New Roman"/>
                <w:b/>
                <w:bCs/>
                <w:color w:val="000000"/>
                <w:shd w:val="clear" w:color="auto" w:fill="F7CAAC" w:themeFill="accent2" w:themeFillTint="66"/>
                <w:lang w:eastAsia="lt-LT"/>
              </w:rPr>
              <w:t>VEIKIANČIOJI PUSĖ</w:t>
            </w:r>
          </w:p>
        </w:tc>
        <w:tc>
          <w:tcPr>
            <w:tcW w:w="722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111535" w:rsidRPr="00111535" w:rsidRDefault="00111535" w:rsidP="00111535">
            <w:pPr>
              <w:spacing w:after="0" w:line="240" w:lineRule="auto"/>
              <w:jc w:val="center"/>
              <w:rPr>
                <w:rFonts w:eastAsia="Times New Roman"/>
                <w:b/>
              </w:rPr>
            </w:pPr>
            <w:r w:rsidRPr="00111535">
              <w:rPr>
                <w:rFonts w:eastAsia="Times New Roman"/>
                <w:b/>
              </w:rPr>
              <w:t>POZICIJOS, TEIGINIAI</w:t>
            </w:r>
          </w:p>
        </w:tc>
      </w:tr>
      <w:tr w:rsidR="00111535" w:rsidRPr="00111535" w:rsidTr="00111535">
        <w:trPr>
          <w:trHeight w:val="260"/>
        </w:trPr>
        <w:tc>
          <w:tcPr>
            <w:tcW w:w="1843" w:type="dxa"/>
            <w:tcBorders>
              <w:top w:val="single" w:sz="6" w:space="0" w:color="000000"/>
              <w:left w:val="single" w:sz="6" w:space="0" w:color="000000"/>
              <w:bottom w:val="single" w:sz="6" w:space="0" w:color="000000"/>
              <w:right w:val="single" w:sz="6" w:space="0" w:color="000000"/>
            </w:tcBorders>
          </w:tcPr>
          <w:p w:rsidR="00111535" w:rsidRPr="00111535" w:rsidRDefault="00111535" w:rsidP="00111535">
            <w:pPr>
              <w:spacing w:after="0"/>
              <w:jc w:val="both"/>
              <w:rPr>
                <w:rFonts w:eastAsia="Times New Roman" w:cs="Times New Roman"/>
                <w:b/>
                <w:bCs/>
                <w:color w:val="000000"/>
                <w:shd w:val="clear" w:color="auto" w:fill="FFFFFF"/>
              </w:rPr>
            </w:pPr>
            <w:proofErr w:type="spellStart"/>
            <w:r w:rsidRPr="00111535">
              <w:rPr>
                <w:rFonts w:eastAsia="Times New Roman" w:cs="Times New Roman"/>
                <w:b/>
                <w:bCs/>
                <w:color w:val="000000"/>
                <w:shd w:val="clear" w:color="auto" w:fill="FFFFFF"/>
              </w:rPr>
              <w:t>Liūdynės</w:t>
            </w:r>
            <w:proofErr w:type="spellEnd"/>
            <w:r w:rsidRPr="00111535">
              <w:rPr>
                <w:rFonts w:eastAsia="Times New Roman" w:cs="Times New Roman"/>
                <w:b/>
                <w:bCs/>
                <w:color w:val="000000"/>
                <w:shd w:val="clear" w:color="auto" w:fill="FFFFFF"/>
              </w:rPr>
              <w:t xml:space="preserve"> gyvenvietės gyventojai</w:t>
            </w:r>
          </w:p>
        </w:tc>
        <w:tc>
          <w:tcPr>
            <w:tcW w:w="7229" w:type="dxa"/>
            <w:tcBorders>
              <w:top w:val="single" w:sz="6" w:space="0" w:color="000000"/>
              <w:left w:val="single" w:sz="6" w:space="0" w:color="000000"/>
              <w:bottom w:val="single" w:sz="6" w:space="0" w:color="000000"/>
              <w:right w:val="single" w:sz="6" w:space="0" w:color="000000"/>
            </w:tcBorders>
          </w:tcPr>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Cs/>
                <w:color w:val="000000"/>
                <w:shd w:val="clear" w:color="auto" w:fill="FFFFFF"/>
              </w:rPr>
              <w:t>Reiškia nepasitenkinimą nuo sąvartyno sklindančiais kvapais ir oro tarša.</w:t>
            </w:r>
          </w:p>
        </w:tc>
      </w:tr>
      <w:tr w:rsidR="00111535" w:rsidRPr="00111535" w:rsidTr="00111535">
        <w:trPr>
          <w:trHeight w:val="929"/>
        </w:trPr>
        <w:tc>
          <w:tcPr>
            <w:tcW w:w="9072" w:type="dxa"/>
            <w:gridSpan w:val="2"/>
            <w:tcBorders>
              <w:top w:val="single" w:sz="6" w:space="0" w:color="000000"/>
              <w:left w:val="single" w:sz="6" w:space="0" w:color="000000"/>
              <w:bottom w:val="single" w:sz="6" w:space="0" w:color="000000"/>
              <w:right w:val="single" w:sz="6" w:space="0" w:color="000000"/>
            </w:tcBorders>
          </w:tcPr>
          <w:p w:rsidR="00111535" w:rsidRPr="00111535" w:rsidRDefault="00111535" w:rsidP="00111535">
            <w:pPr>
              <w:spacing w:after="0"/>
              <w:jc w:val="both"/>
              <w:rPr>
                <w:rFonts w:eastAsia="Times New Roman" w:cs="Times New Roman"/>
                <w:bCs/>
                <w:color w:val="000000"/>
                <w:shd w:val="clear" w:color="auto" w:fill="FFFFFF"/>
              </w:rPr>
            </w:pPr>
            <w:bookmarkStart w:id="2" w:name="_Toc77421397"/>
            <w:r w:rsidRPr="00111535">
              <w:rPr>
                <w:rFonts w:eastAsia="Times New Roman" w:cs="Times New Roman"/>
                <w:b/>
                <w:bCs/>
                <w:color w:val="000000"/>
                <w:shd w:val="clear" w:color="auto" w:fill="FFFFFF"/>
              </w:rPr>
              <w:t xml:space="preserve">Panevėžio regioninės atliekų tvarkymo sistemos plėtra. Regioninio nepavojingų atliekų  sąvartyno įrengimas, PAV ataskaita: </w:t>
            </w:r>
            <w:r w:rsidRPr="00111535">
              <w:rPr>
                <w:rFonts w:eastAsia="Times New Roman" w:cs="Times New Roman"/>
                <w:bCs/>
                <w:color w:val="000000"/>
                <w:shd w:val="clear" w:color="auto" w:fill="FFFFFF"/>
              </w:rPr>
              <w:t>Naujajame regioniniame sąvartyne</w:t>
            </w:r>
            <w:bookmarkEnd w:id="2"/>
            <w:r w:rsidRPr="00111535">
              <w:rPr>
                <w:rFonts w:eastAsia="Times New Roman" w:cs="Times New Roman"/>
                <w:bCs/>
                <w:color w:val="000000"/>
                <w:shd w:val="clear" w:color="auto" w:fill="FFFFFF"/>
              </w:rPr>
              <w:t xml:space="preserve"> kaip poveikio aplinkai mažinimo priemonė yra numatytas sąvartyno dujų tvarkymas. Tai leis iki minimumo sumažinti į aplinkos orą nekontroliuojamai patenkančių sąvartyno dujų kiekį bei sudarys galimybes sąvartyno dujų panaudojimui tikslingam energijos generavimui, šildymui (laikytina ir kompensacine priemone). Sąvartyne kaupiamose buitinėse ir į jas panašiose atliekose dėl jose vykstančių biocheminių reakcijų susidaro ir į aplinką išsiskiria labai įvairios dujos, vadinamos bendru  vardu – sąvartyno dujomis. Jų kiekiai  ir įvairovė priklauso nuo atliekų sudėties, jų buvimo sąvartyne laiko ir sąlygų, kuriuose vyksta sudėtingi organinių atliekų skaidymosi ir naujų junginių susidarymo procesai. Pagrindiniai minėtų atliekų irimo dujiniai produktai susidaro pūvant organinėms medžiagoms: celiuliozei, gliukozei, riebalams, polisacharidams, proteinui. Į aplinką išsiskiria metanas (CH</w:t>
            </w:r>
            <w:r w:rsidRPr="00111535">
              <w:rPr>
                <w:rFonts w:eastAsia="Times New Roman" w:cs="Times New Roman"/>
                <w:bCs/>
                <w:color w:val="000000"/>
                <w:shd w:val="clear" w:color="auto" w:fill="FFFFFF"/>
                <w:vertAlign w:val="subscript"/>
              </w:rPr>
              <w:t>4</w:t>
            </w:r>
            <w:r w:rsidRPr="00111535">
              <w:rPr>
                <w:rFonts w:eastAsia="Times New Roman" w:cs="Times New Roman"/>
                <w:bCs/>
                <w:color w:val="000000"/>
                <w:shd w:val="clear" w:color="auto" w:fill="FFFFFF"/>
              </w:rPr>
              <w:t xml:space="preserve">) bei jį lydinčios dujos: anglies </w:t>
            </w:r>
            <w:proofErr w:type="spellStart"/>
            <w:r w:rsidRPr="00111535">
              <w:rPr>
                <w:rFonts w:eastAsia="Times New Roman" w:cs="Times New Roman"/>
                <w:bCs/>
                <w:color w:val="000000"/>
                <w:shd w:val="clear" w:color="auto" w:fill="FFFFFF"/>
              </w:rPr>
              <w:t>monoksidas</w:t>
            </w:r>
            <w:proofErr w:type="spellEnd"/>
            <w:r w:rsidRPr="00111535">
              <w:rPr>
                <w:rFonts w:eastAsia="Times New Roman" w:cs="Times New Roman"/>
                <w:bCs/>
                <w:color w:val="000000"/>
                <w:shd w:val="clear" w:color="auto" w:fill="FFFFFF"/>
              </w:rPr>
              <w:t xml:space="preserve"> ir dioksidas (CO ir CO</w:t>
            </w:r>
            <w:r w:rsidRPr="00111535">
              <w:rPr>
                <w:rFonts w:eastAsia="Times New Roman" w:cs="Times New Roman"/>
                <w:bCs/>
                <w:color w:val="000000"/>
                <w:shd w:val="clear" w:color="auto" w:fill="FFFFFF"/>
                <w:vertAlign w:val="subscript"/>
              </w:rPr>
              <w:t>2</w:t>
            </w:r>
            <w:r w:rsidRPr="00111535">
              <w:rPr>
                <w:rFonts w:eastAsia="Times New Roman" w:cs="Times New Roman"/>
                <w:bCs/>
                <w:color w:val="000000"/>
                <w:shd w:val="clear" w:color="auto" w:fill="FFFFFF"/>
              </w:rPr>
              <w:t>), azoto (N</w:t>
            </w:r>
            <w:r w:rsidRPr="00111535">
              <w:rPr>
                <w:rFonts w:eastAsia="Times New Roman" w:cs="Times New Roman"/>
                <w:bCs/>
                <w:color w:val="000000"/>
                <w:shd w:val="clear" w:color="auto" w:fill="FFFFFF"/>
                <w:vertAlign w:val="subscript"/>
              </w:rPr>
              <w:t>2</w:t>
            </w:r>
            <w:r w:rsidRPr="00111535">
              <w:rPr>
                <w:rFonts w:eastAsia="Times New Roman" w:cs="Times New Roman"/>
                <w:bCs/>
                <w:color w:val="000000"/>
                <w:shd w:val="clear" w:color="auto" w:fill="FFFFFF"/>
              </w:rPr>
              <w:t>) oksidai, deguonis (O</w:t>
            </w:r>
            <w:r w:rsidRPr="00111535">
              <w:rPr>
                <w:rFonts w:eastAsia="Times New Roman" w:cs="Times New Roman"/>
                <w:bCs/>
                <w:color w:val="000000"/>
                <w:shd w:val="clear" w:color="auto" w:fill="FFFFFF"/>
                <w:vertAlign w:val="subscript"/>
              </w:rPr>
              <w:t>2</w:t>
            </w:r>
            <w:r w:rsidRPr="00111535">
              <w:rPr>
                <w:rFonts w:eastAsia="Times New Roman" w:cs="Times New Roman"/>
                <w:bCs/>
                <w:color w:val="000000"/>
                <w:shd w:val="clear" w:color="auto" w:fill="FFFFFF"/>
              </w:rPr>
              <w:t xml:space="preserve">) bei aromatiniai ir </w:t>
            </w:r>
            <w:proofErr w:type="spellStart"/>
            <w:r w:rsidRPr="00111535">
              <w:rPr>
                <w:rFonts w:eastAsia="Times New Roman" w:cs="Times New Roman"/>
                <w:bCs/>
                <w:color w:val="000000"/>
                <w:shd w:val="clear" w:color="auto" w:fill="FFFFFF"/>
              </w:rPr>
              <w:t>halogeniniai</w:t>
            </w:r>
            <w:proofErr w:type="spellEnd"/>
            <w:r w:rsidRPr="00111535">
              <w:rPr>
                <w:rFonts w:eastAsia="Times New Roman" w:cs="Times New Roman"/>
                <w:bCs/>
                <w:color w:val="000000"/>
                <w:shd w:val="clear" w:color="auto" w:fill="FFFFFF"/>
              </w:rPr>
              <w:t xml:space="preserve"> angliavandeniliai, sieros vandenilis (H</w:t>
            </w:r>
            <w:r w:rsidRPr="00111535">
              <w:rPr>
                <w:rFonts w:eastAsia="Times New Roman" w:cs="Times New Roman"/>
                <w:bCs/>
                <w:color w:val="000000"/>
                <w:shd w:val="clear" w:color="auto" w:fill="FFFFFF"/>
                <w:vertAlign w:val="subscript"/>
              </w:rPr>
              <w:t>2</w:t>
            </w:r>
            <w:r w:rsidRPr="00111535">
              <w:rPr>
                <w:rFonts w:eastAsia="Times New Roman" w:cs="Times New Roman"/>
                <w:bCs/>
                <w:color w:val="000000"/>
                <w:shd w:val="clear" w:color="auto" w:fill="FFFFFF"/>
              </w:rPr>
              <w:t xml:space="preserve">S) ir kt. Dauguma šių dujų gali būti pavojingos betarpiškai susidarymo vietoje esančių žmonių sveikatai. Šalia šių poveikių aplinkai degraduojant kai kurioms medžiagoms esančiose atliekose, ypač gyvulinės kilmės atliekose, gali susidaryti ir kitokios medžiagos skleidžiančios nemalonius kvapus. Nors šių medžiagų kiekiai yra nežymus, tačiau kvapai sukelia diskomfortą ir sąvartyno eksploatacijos metu turi būti imamasi prevencinių priemonių mažinančių kvapų susidarymą ir sklidimą. Sąvartyne įrengus sąvartyno dujų surinkimo ir panaudojimo sistemą, dujos bus deginamos dujų katilinėje arba dujiniuose elektros energijos generatoriuose. Sąvartyno sanitarinėje apsaugos zonoje aplinkos oro užterštumas neviršys nustatytų DLK reikšmių. </w:t>
            </w:r>
          </w:p>
          <w:p w:rsidR="00111535" w:rsidRPr="00111535" w:rsidRDefault="00111535" w:rsidP="00111535">
            <w:pPr>
              <w:spacing w:after="0"/>
              <w:jc w:val="both"/>
              <w:rPr>
                <w:rFonts w:eastAsia="Times New Roman" w:cs="Times New Roman"/>
                <w:bCs/>
                <w:color w:val="000000"/>
                <w:highlight w:val="yellow"/>
                <w:shd w:val="clear" w:color="auto" w:fill="FFFFFF"/>
              </w:rPr>
            </w:pPr>
            <w:r w:rsidRPr="00111535">
              <w:rPr>
                <w:rFonts w:eastAsia="Times New Roman" w:cs="Times New Roman"/>
                <w:bCs/>
                <w:color w:val="000000"/>
                <w:shd w:val="clear" w:color="auto" w:fill="FFFFFF"/>
              </w:rPr>
              <w:t>Kaip oro taršos prevencijos bei mažinimo priemonė bus įrengta sąvartos uždanga, bus organizuotas atskiras organinių atliekų surinkimas ir jų perdirbimas, griežta šalinamų sąvartyne atliekų kontrolė neleidžianti patekti į sąvartą gyvulinės kilmės atliekoms, bei griežta tarpinio sąvartos uždengimo gruntu kontrolė. Šios priemonės sumažins / sustabdys sąvartyne susidarančių nemalonių kvapų sklidimą į aplinką</w:t>
            </w:r>
            <w:r w:rsidRPr="00111535">
              <w:rPr>
                <w:rFonts w:eastAsia="Times New Roman" w:cs="Times New Roman"/>
                <w:bCs/>
                <w:color w:val="000000"/>
                <w:shd w:val="clear" w:color="auto" w:fill="FFFFFF"/>
              </w:rPr>
              <w:fldChar w:fldCharType="begin"/>
            </w:r>
            <w:r w:rsidRPr="00111535">
              <w:rPr>
                <w:rFonts w:eastAsia="Times New Roman" w:cs="Times New Roman"/>
                <w:bCs/>
                <w:color w:val="000000"/>
                <w:shd w:val="clear" w:color="auto" w:fill="FFFFFF"/>
              </w:rPr>
              <w:instrText xml:space="preserve"> NOTEREF _Ref435780091 \f \h  \* MERGEFORMAT </w:instrText>
            </w:r>
            <w:r w:rsidRPr="00111535">
              <w:rPr>
                <w:rFonts w:eastAsia="Times New Roman" w:cs="Times New Roman"/>
                <w:bCs/>
                <w:color w:val="000000"/>
                <w:shd w:val="clear" w:color="auto" w:fill="FFFFFF"/>
              </w:rPr>
            </w:r>
            <w:r w:rsidRPr="00111535">
              <w:rPr>
                <w:rFonts w:eastAsia="Times New Roman" w:cs="Times New Roman"/>
                <w:bCs/>
                <w:color w:val="000000"/>
                <w:shd w:val="clear" w:color="auto" w:fill="FFFFFF"/>
              </w:rPr>
              <w:fldChar w:fldCharType="separate"/>
            </w:r>
            <w:r w:rsidRPr="00111535">
              <w:rPr>
                <w:rStyle w:val="FootnoteReference"/>
              </w:rPr>
              <w:t>1</w:t>
            </w:r>
            <w:r w:rsidRPr="00111535">
              <w:rPr>
                <w:rFonts w:eastAsia="Times New Roman" w:cs="Times New Roman"/>
                <w:bCs/>
                <w:color w:val="000000"/>
                <w:shd w:val="clear" w:color="auto" w:fill="FFFFFF"/>
              </w:rPr>
              <w:fldChar w:fldCharType="end"/>
            </w:r>
            <w:r w:rsidRPr="00111535">
              <w:rPr>
                <w:rFonts w:eastAsia="Times New Roman" w:cs="Times New Roman"/>
                <w:bCs/>
                <w:color w:val="000000"/>
                <w:shd w:val="clear" w:color="auto" w:fill="FFFFFF"/>
              </w:rPr>
              <w:t xml:space="preserve">. </w:t>
            </w:r>
          </w:p>
        </w:tc>
      </w:tr>
      <w:tr w:rsidR="00111535" w:rsidRPr="00111535" w:rsidTr="00111535">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9CC2E5" w:themeFill="accent1" w:themeFillTint="99"/>
          </w:tcPr>
          <w:p w:rsidR="00111535" w:rsidRPr="00111535" w:rsidRDefault="00111535" w:rsidP="00111535">
            <w:pPr>
              <w:spacing w:after="0" w:line="240" w:lineRule="auto"/>
              <w:jc w:val="center"/>
              <w:rPr>
                <w:rFonts w:eastAsia="Times New Roman" w:cs="Times New Roman"/>
                <w:b/>
                <w:bCs/>
                <w:color w:val="000000"/>
                <w:shd w:val="clear" w:color="auto" w:fill="B2D692"/>
                <w:lang w:eastAsia="lt-LT"/>
              </w:rPr>
            </w:pPr>
            <w:r w:rsidRPr="00111535">
              <w:rPr>
                <w:b/>
              </w:rPr>
              <w:t>GINČO OBJEKTAS/NESUTARIMAS</w:t>
            </w:r>
          </w:p>
        </w:tc>
      </w:tr>
      <w:tr w:rsidR="00111535" w:rsidRPr="00111535" w:rsidTr="00111535">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111535" w:rsidRPr="00111535" w:rsidRDefault="00111535" w:rsidP="00111535">
            <w:pPr>
              <w:spacing w:after="0" w:line="240" w:lineRule="auto"/>
              <w:jc w:val="center"/>
              <w:rPr>
                <w:rFonts w:eastAsia="Times New Roman" w:cs="Times New Roman"/>
                <w:lang w:eastAsia="lt-LT"/>
              </w:rPr>
            </w:pPr>
            <w:r w:rsidRPr="00111535">
              <w:rPr>
                <w:b/>
                <w:bCs/>
              </w:rPr>
              <w:t>Vandens tarša</w:t>
            </w:r>
            <w:r w:rsidRPr="00111535">
              <w:t xml:space="preserve"> </w:t>
            </w:r>
          </w:p>
        </w:tc>
      </w:tr>
      <w:tr w:rsidR="00111535" w:rsidRPr="00111535" w:rsidTr="00111535">
        <w:trPr>
          <w:trHeight w:val="477"/>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111535" w:rsidRPr="00111535" w:rsidRDefault="00111535" w:rsidP="00111535">
            <w:pPr>
              <w:spacing w:after="0" w:line="240" w:lineRule="auto"/>
              <w:jc w:val="both"/>
              <w:rPr>
                <w:bCs/>
                <w:iCs/>
              </w:rPr>
            </w:pPr>
            <w:r w:rsidRPr="00111535">
              <w:rPr>
                <w:b/>
                <w:bCs/>
              </w:rPr>
              <w:t>Tarša</w:t>
            </w:r>
            <w:r w:rsidRPr="00111535">
              <w:rPr>
                <w:b/>
              </w:rPr>
              <w:t xml:space="preserve"> – dėl žmogaus veiklos tiesioginis ar netiesioginis medžiagų ar energijos patekimas į vandenį, orą ar žemę, galintis padaryti žalingą poveikį žmonių sveikatai, vandens ar žemės ekosistemų, priklausomų nuo vandens ekosistemų, kokybei, taip pat galintis padaryti žalą materialiajam turtui ir (arba) aplinkai ir (arba) apriboti galimybes teisėtai naudotis aplinka.</w:t>
            </w:r>
          </w:p>
        </w:tc>
      </w:tr>
      <w:tr w:rsidR="00111535" w:rsidRPr="00111535" w:rsidTr="00111535">
        <w:trPr>
          <w:trHeight w:val="213"/>
        </w:trPr>
        <w:tc>
          <w:tcPr>
            <w:tcW w:w="1843"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Pr>
          <w:p w:rsidR="00111535" w:rsidRPr="00111535" w:rsidRDefault="00111535" w:rsidP="00111535">
            <w:pPr>
              <w:spacing w:after="0" w:line="240" w:lineRule="auto"/>
              <w:jc w:val="both"/>
              <w:rPr>
                <w:rFonts w:eastAsia="Times New Roman" w:cs="Arial"/>
                <w:b/>
                <w:bCs/>
                <w:color w:val="000000"/>
                <w:shd w:val="clear" w:color="auto" w:fill="B2D692"/>
                <w:lang w:eastAsia="lt-LT"/>
              </w:rPr>
            </w:pPr>
            <w:r w:rsidRPr="00111535">
              <w:t xml:space="preserve"> </w:t>
            </w:r>
            <w:r w:rsidRPr="00111535">
              <w:rPr>
                <w:b/>
              </w:rPr>
              <w:t>VEIKIANČIOJI PUSĖ</w:t>
            </w:r>
          </w:p>
        </w:tc>
        <w:tc>
          <w:tcPr>
            <w:tcW w:w="7229"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Pr>
          <w:p w:rsidR="00111535" w:rsidRPr="00111535" w:rsidRDefault="00111535" w:rsidP="00111535">
            <w:pPr>
              <w:spacing w:after="0" w:line="240" w:lineRule="auto"/>
              <w:jc w:val="center"/>
              <w:rPr>
                <w:rFonts w:eastAsia="Times New Roman" w:cs="Arial"/>
                <w:b/>
                <w:bCs/>
                <w:color w:val="000000"/>
                <w:shd w:val="clear" w:color="auto" w:fill="B2D692"/>
                <w:lang w:eastAsia="lt-LT"/>
              </w:rPr>
            </w:pPr>
            <w:r w:rsidRPr="00111535">
              <w:rPr>
                <w:b/>
              </w:rPr>
              <w:t>POZICIJOS, TEIGINIAI</w:t>
            </w:r>
          </w:p>
        </w:tc>
      </w:tr>
      <w:tr w:rsidR="00111535" w:rsidRPr="00111535" w:rsidTr="00111535">
        <w:trPr>
          <w:trHeight w:val="539"/>
        </w:trPr>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535" w:rsidRPr="00111535" w:rsidRDefault="00111535" w:rsidP="00111535">
            <w:pPr>
              <w:spacing w:after="0"/>
              <w:jc w:val="both"/>
              <w:rPr>
                <w:rFonts w:eastAsia="Times New Roman" w:cs="Times New Roman"/>
                <w:b/>
                <w:bCs/>
                <w:color w:val="000000"/>
                <w:shd w:val="clear" w:color="auto" w:fill="FFFFFF"/>
              </w:rPr>
            </w:pPr>
            <w:proofErr w:type="spellStart"/>
            <w:r w:rsidRPr="00111535">
              <w:rPr>
                <w:rFonts w:eastAsia="Times New Roman" w:cs="Times New Roman"/>
                <w:b/>
                <w:bCs/>
                <w:color w:val="000000"/>
                <w:shd w:val="clear" w:color="auto" w:fill="FFFFFF"/>
              </w:rPr>
              <w:t>Liūdynės</w:t>
            </w:r>
            <w:proofErr w:type="spellEnd"/>
            <w:r w:rsidRPr="00111535">
              <w:rPr>
                <w:rFonts w:eastAsia="Times New Roman" w:cs="Times New Roman"/>
                <w:b/>
                <w:bCs/>
                <w:color w:val="000000"/>
                <w:shd w:val="clear" w:color="auto" w:fill="FFFFFF"/>
              </w:rPr>
              <w:t xml:space="preserve"> gyvenvietės gyventojai</w:t>
            </w:r>
          </w:p>
        </w:tc>
        <w:tc>
          <w:tcPr>
            <w:tcW w:w="7229" w:type="dxa"/>
            <w:tcBorders>
              <w:top w:val="single" w:sz="2" w:space="0" w:color="000000"/>
              <w:left w:val="single" w:sz="6" w:space="0" w:color="000000"/>
              <w:bottom w:val="single" w:sz="6" w:space="0" w:color="000000"/>
              <w:right w:val="single" w:sz="6" w:space="0" w:color="000000"/>
            </w:tcBorders>
            <w:shd w:val="clear" w:color="auto" w:fill="FFFFFF" w:themeFill="background1"/>
          </w:tcPr>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Cs/>
                <w:color w:val="000000"/>
                <w:shd w:val="clear" w:color="auto" w:fill="FFFFFF"/>
              </w:rPr>
              <w:t>Gyventojai susirūpinę padidėjusia požeminio ir paviršinio vandens tarša. Dauguma gyventojų esamo Panevėžio sąvartyno apylinkėse naudojasi šulinių vandeniu. Panevėžio buitinių atliekų sąvartyno teritorijos požeminio vandens 1997 –2002 m. monitoringo duomenimis nustatyta, kad gruntinis vanduo teršiamas, požeminių vandenų kokybė tiriamajame rajone nėra visiškai gera.</w:t>
            </w:r>
          </w:p>
        </w:tc>
      </w:tr>
      <w:tr w:rsidR="00111535" w:rsidRPr="00111535" w:rsidTr="00111535">
        <w:tc>
          <w:tcPr>
            <w:tcW w:w="907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
                <w:bCs/>
                <w:color w:val="000000"/>
                <w:shd w:val="clear" w:color="auto" w:fill="FFFFFF"/>
              </w:rPr>
              <w:lastRenderedPageBreak/>
              <w:t xml:space="preserve">Panevėžio regioninės atliekų tvarkymo sistemos plėtra. Regioninio nepavojingų atliekų  sąvartyno įrengimas, PAV ataskaita: </w:t>
            </w:r>
            <w:r w:rsidRPr="00111535">
              <w:rPr>
                <w:rFonts w:eastAsia="Times New Roman" w:cs="Times New Roman"/>
                <w:bCs/>
                <w:color w:val="000000"/>
                <w:shd w:val="clear" w:color="auto" w:fill="FFFFFF"/>
              </w:rPr>
              <w:t xml:space="preserve"> Sąvartynas nedaro ir nedarys poveikio vietovės hidrologiniam režimui. Pagal gruntinio vandens judėjimo kryptį gyventojų šulinių kelių kilometrų atstumu nėra. Panevėžio visuomenės sveikatos centro duomenimis 2003 m. nebuvo užregistruota nei vieno su sąvartyno veikla susijusio grupinio susirgimo užkrečiamomis ligomis. Panevėžio rajono gyvenvietėse centralizuotai tiekiamo vandens kokybė yra gera ir nedaro neigiamo poveikio gyventojų sveikatai. </w:t>
            </w:r>
          </w:p>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Cs/>
                <w:color w:val="000000"/>
                <w:shd w:val="clear" w:color="auto" w:fill="FFFFFF"/>
              </w:rPr>
              <w:t>Esamame Panevėžio sąvartyne yra dugno ir šlaitų izoliacijos, įrengtos filtrato surinkimo sistemos.  Regioniniame sąvartyne bus įrengtas dirbtinis dugno izoliacinis sluoksnis bei įrengta filtrato surinkimo sistema. Filtratas bus išvalomas Panevėžio miesto  nuotekų valymo įrenginiuose. Normaliomis eksploatacijos sąlygomis sąvartyne susidarantis filtratas praktiškai negali patekti į požeminį vandenį ir jį teršti. Aplink sąvartyną bus įrengti paviršinio vandens surinkimo grioviai, į kuriuos pateks neužterštas kritulių bei sniego tirpsmo vanduo iš sąvartyno aplinkinių teritorijų. Taip pat bus įrengti pylimai, kurie apsaugos, kad nuo atliekų kaupo nutekantis filtratas nepatektų į aplinką. Atliekos pastoviai bus užpilamos apsauginiu grunto sluoksniu</w:t>
            </w:r>
            <w:r w:rsidRPr="00111535">
              <w:rPr>
                <w:rFonts w:eastAsia="Times New Roman" w:cs="Times New Roman"/>
                <w:bCs/>
                <w:color w:val="000000"/>
                <w:shd w:val="clear" w:color="auto" w:fill="FFFFFF"/>
              </w:rPr>
              <w:fldChar w:fldCharType="begin"/>
            </w:r>
            <w:r w:rsidRPr="00111535">
              <w:rPr>
                <w:rFonts w:eastAsia="Times New Roman" w:cs="Times New Roman"/>
                <w:bCs/>
                <w:color w:val="000000"/>
                <w:shd w:val="clear" w:color="auto" w:fill="FFFFFF"/>
              </w:rPr>
              <w:instrText xml:space="preserve"> NOTEREF _Ref435780091 \f \h  \* MERGEFORMAT </w:instrText>
            </w:r>
            <w:r w:rsidRPr="00111535">
              <w:rPr>
                <w:rFonts w:eastAsia="Times New Roman" w:cs="Times New Roman"/>
                <w:bCs/>
                <w:color w:val="000000"/>
                <w:shd w:val="clear" w:color="auto" w:fill="FFFFFF"/>
              </w:rPr>
            </w:r>
            <w:r w:rsidRPr="00111535">
              <w:rPr>
                <w:rFonts w:eastAsia="Times New Roman" w:cs="Times New Roman"/>
                <w:bCs/>
                <w:color w:val="000000"/>
                <w:shd w:val="clear" w:color="auto" w:fill="FFFFFF"/>
              </w:rPr>
              <w:fldChar w:fldCharType="separate"/>
            </w:r>
            <w:r w:rsidRPr="00111535">
              <w:rPr>
                <w:rStyle w:val="FootnoteReference"/>
              </w:rPr>
              <w:t>1</w:t>
            </w:r>
            <w:r w:rsidRPr="00111535">
              <w:rPr>
                <w:rFonts w:eastAsia="Times New Roman" w:cs="Times New Roman"/>
                <w:bCs/>
                <w:color w:val="000000"/>
                <w:shd w:val="clear" w:color="auto" w:fill="FFFFFF"/>
              </w:rPr>
              <w:fldChar w:fldCharType="end"/>
            </w:r>
            <w:r w:rsidRPr="00111535">
              <w:rPr>
                <w:rFonts w:eastAsia="Times New Roman" w:cs="Times New Roman"/>
                <w:bCs/>
                <w:color w:val="000000"/>
                <w:shd w:val="clear" w:color="auto" w:fill="FFFFFF"/>
              </w:rPr>
              <w:t xml:space="preserve">. </w:t>
            </w:r>
          </w:p>
        </w:tc>
      </w:tr>
      <w:tr w:rsidR="00111535" w:rsidRPr="00111535" w:rsidTr="00111535">
        <w:tblPrEx>
          <w:tblCellMar>
            <w:left w:w="108" w:type="dxa"/>
            <w:bottom w:w="0" w:type="dxa"/>
            <w:right w:w="108" w:type="dxa"/>
          </w:tblCellMar>
        </w:tblPrEx>
        <w:trPr>
          <w:trHeight w:val="275"/>
        </w:trPr>
        <w:tc>
          <w:tcPr>
            <w:tcW w:w="9072" w:type="dxa"/>
            <w:gridSpan w:val="2"/>
            <w:tcBorders>
              <w:top w:val="single" w:sz="4" w:space="0" w:color="auto"/>
              <w:left w:val="single" w:sz="6" w:space="0" w:color="000000"/>
              <w:bottom w:val="single" w:sz="4" w:space="0" w:color="auto"/>
              <w:right w:val="single" w:sz="6" w:space="0" w:color="000000"/>
            </w:tcBorders>
            <w:shd w:val="clear" w:color="auto" w:fill="FFD966" w:themeFill="accent4" w:themeFillTint="99"/>
            <w:tcMar>
              <w:top w:w="0" w:type="dxa"/>
              <w:left w:w="15" w:type="dxa"/>
              <w:bottom w:w="15" w:type="dxa"/>
              <w:right w:w="15" w:type="dxa"/>
            </w:tcMar>
            <w:hideMark/>
          </w:tcPr>
          <w:p w:rsidR="00111535" w:rsidRPr="00111535" w:rsidRDefault="00111535" w:rsidP="00111535">
            <w:pPr>
              <w:spacing w:after="0" w:line="240" w:lineRule="auto"/>
              <w:jc w:val="center"/>
              <w:rPr>
                <w:b/>
              </w:rPr>
            </w:pPr>
            <w:r w:rsidRPr="00111535">
              <w:rPr>
                <w:b/>
                <w:bCs/>
              </w:rPr>
              <w:t>GINČO OBJEKTAS/NESUTARIMAS</w:t>
            </w:r>
          </w:p>
        </w:tc>
      </w:tr>
      <w:tr w:rsidR="00111535" w:rsidRPr="00111535" w:rsidTr="00111535">
        <w:tblPrEx>
          <w:tblCellMar>
            <w:left w:w="108" w:type="dxa"/>
            <w:bottom w:w="0" w:type="dxa"/>
            <w:right w:w="108" w:type="dxa"/>
          </w:tblCellMar>
        </w:tblPrEx>
        <w:trPr>
          <w:trHeight w:val="275"/>
        </w:trPr>
        <w:tc>
          <w:tcPr>
            <w:tcW w:w="9072" w:type="dxa"/>
            <w:gridSpan w:val="2"/>
            <w:tcBorders>
              <w:top w:val="single" w:sz="4" w:space="0" w:color="auto"/>
              <w:left w:val="single" w:sz="6" w:space="0" w:color="000000"/>
              <w:bottom w:val="single" w:sz="6" w:space="0" w:color="000000"/>
              <w:right w:val="single" w:sz="6" w:space="0" w:color="000000"/>
            </w:tcBorders>
            <w:shd w:val="clear" w:color="auto" w:fill="FFE697"/>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t>Kita tarša</w:t>
            </w:r>
          </w:p>
        </w:tc>
      </w:tr>
      <w:tr w:rsidR="00111535" w:rsidRPr="00111535" w:rsidTr="00111535">
        <w:tblPrEx>
          <w:tblCellMar>
            <w:left w:w="108" w:type="dxa"/>
            <w:bottom w:w="0" w:type="dxa"/>
            <w:right w:w="108" w:type="dxa"/>
          </w:tblCellMar>
        </w:tblPrEx>
        <w:trPr>
          <w:trHeight w:val="275"/>
        </w:trPr>
        <w:tc>
          <w:tcPr>
            <w:tcW w:w="1843" w:type="dxa"/>
            <w:tcBorders>
              <w:top w:val="single" w:sz="4" w:space="0" w:color="auto"/>
              <w:left w:val="single" w:sz="6" w:space="0" w:color="000000"/>
              <w:bottom w:val="single" w:sz="4" w:space="0" w:color="auto"/>
              <w:right w:val="single" w:sz="6" w:space="0" w:color="000000"/>
            </w:tcBorders>
            <w:shd w:val="clear" w:color="auto" w:fill="FFD757"/>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t>VEIKIANČIOJI PUSĖ</w:t>
            </w:r>
          </w:p>
        </w:tc>
        <w:tc>
          <w:tcPr>
            <w:tcW w:w="7229" w:type="dxa"/>
            <w:tcBorders>
              <w:top w:val="single" w:sz="4" w:space="0" w:color="auto"/>
              <w:left w:val="single" w:sz="6" w:space="0" w:color="000000"/>
              <w:bottom w:val="single" w:sz="4" w:space="0" w:color="auto"/>
              <w:right w:val="single" w:sz="6" w:space="0" w:color="000000"/>
            </w:tcBorders>
            <w:shd w:val="clear" w:color="auto" w:fill="FFD757"/>
            <w:tcMar>
              <w:top w:w="0" w:type="dxa"/>
              <w:left w:w="15" w:type="dxa"/>
              <w:bottom w:w="15" w:type="dxa"/>
              <w:right w:w="15" w:type="dxa"/>
            </w:tcMar>
            <w:hideMark/>
          </w:tcPr>
          <w:p w:rsidR="00111535" w:rsidRPr="00111535" w:rsidRDefault="00111535" w:rsidP="00111535">
            <w:pPr>
              <w:spacing w:after="0" w:line="240" w:lineRule="auto"/>
              <w:jc w:val="center"/>
              <w:rPr>
                <w:b/>
                <w:bCs/>
              </w:rPr>
            </w:pPr>
            <w:r w:rsidRPr="00111535">
              <w:rPr>
                <w:b/>
                <w:bCs/>
              </w:rPr>
              <w:t>POZICIJOS, TEIGINIAI</w:t>
            </w:r>
          </w:p>
        </w:tc>
      </w:tr>
      <w:tr w:rsidR="00111535" w:rsidRPr="00111535" w:rsidTr="00111535">
        <w:tblPrEx>
          <w:tblCellMar>
            <w:left w:w="108" w:type="dxa"/>
            <w:bottom w:w="0" w:type="dxa"/>
            <w:right w:w="108" w:type="dxa"/>
          </w:tblCellMar>
        </w:tblPrEx>
        <w:trPr>
          <w:trHeight w:val="275"/>
        </w:trPr>
        <w:tc>
          <w:tcPr>
            <w:tcW w:w="1843" w:type="dxa"/>
            <w:tcBorders>
              <w:top w:val="single" w:sz="4" w:space="0" w:color="auto"/>
              <w:left w:val="single" w:sz="6" w:space="0" w:color="000000"/>
              <w:bottom w:val="single" w:sz="4" w:space="0" w:color="auto"/>
              <w:right w:val="single" w:sz="6" w:space="0" w:color="000000"/>
            </w:tcBorders>
            <w:shd w:val="clear" w:color="auto" w:fill="auto"/>
            <w:tcMar>
              <w:top w:w="0" w:type="dxa"/>
              <w:left w:w="15" w:type="dxa"/>
              <w:bottom w:w="15" w:type="dxa"/>
              <w:right w:w="15" w:type="dxa"/>
            </w:tcMar>
          </w:tcPr>
          <w:p w:rsidR="00111535" w:rsidRPr="00111535" w:rsidRDefault="00111535" w:rsidP="00111535">
            <w:pPr>
              <w:spacing w:after="0" w:line="240" w:lineRule="auto"/>
              <w:rPr>
                <w:b/>
                <w:bCs/>
              </w:rPr>
            </w:pPr>
            <w:proofErr w:type="spellStart"/>
            <w:r w:rsidRPr="00111535">
              <w:rPr>
                <w:rFonts w:eastAsia="Times New Roman" w:cs="Times New Roman"/>
                <w:b/>
                <w:bCs/>
                <w:color w:val="000000"/>
                <w:shd w:val="clear" w:color="auto" w:fill="FFFFFF"/>
              </w:rPr>
              <w:t>Liūdynės</w:t>
            </w:r>
            <w:proofErr w:type="spellEnd"/>
            <w:r w:rsidRPr="00111535">
              <w:rPr>
                <w:rFonts w:eastAsia="Times New Roman" w:cs="Times New Roman"/>
                <w:b/>
                <w:bCs/>
                <w:color w:val="000000"/>
                <w:shd w:val="clear" w:color="auto" w:fill="FFFFFF"/>
              </w:rPr>
              <w:t xml:space="preserve"> gyvenvietės gyventojai</w:t>
            </w:r>
          </w:p>
        </w:tc>
        <w:tc>
          <w:tcPr>
            <w:tcW w:w="7229" w:type="dxa"/>
            <w:tcBorders>
              <w:top w:val="single" w:sz="4" w:space="0" w:color="auto"/>
              <w:left w:val="single" w:sz="6" w:space="0" w:color="000000"/>
              <w:bottom w:val="single" w:sz="4" w:space="0" w:color="auto"/>
              <w:right w:val="single" w:sz="6" w:space="0" w:color="000000"/>
            </w:tcBorders>
            <w:shd w:val="clear" w:color="auto" w:fill="auto"/>
            <w:tcMar>
              <w:top w:w="0" w:type="dxa"/>
              <w:left w:w="15" w:type="dxa"/>
              <w:bottom w:w="15" w:type="dxa"/>
              <w:right w:w="15" w:type="dxa"/>
            </w:tcMar>
          </w:tcPr>
          <w:p w:rsidR="00111535" w:rsidRPr="00111535" w:rsidRDefault="00111535" w:rsidP="00111535">
            <w:pPr>
              <w:spacing w:after="0" w:line="240" w:lineRule="auto"/>
              <w:rPr>
                <w:bCs/>
              </w:rPr>
            </w:pPr>
            <w:r w:rsidRPr="00111535">
              <w:rPr>
                <w:bCs/>
              </w:rPr>
              <w:t>Gyventojai išreiškė susirūpinimą padidėsiančiu automobilių srautu, jų keliamu triukšmu, dėl išaugsiančių šalinamų atliekų kiekių padidėsiančia dirvožemio tarša</w:t>
            </w:r>
            <w:r w:rsidRPr="00111535">
              <w:rPr>
                <w:rStyle w:val="FootnoteReference"/>
                <w:bCs/>
              </w:rPr>
              <w:footnoteReference w:id="2"/>
            </w:r>
            <w:r w:rsidRPr="00111535">
              <w:rPr>
                <w:bCs/>
              </w:rPr>
              <w:t>.</w:t>
            </w:r>
            <w:r w:rsidRPr="00111535">
              <w:t xml:space="preserve"> </w:t>
            </w:r>
          </w:p>
        </w:tc>
      </w:tr>
      <w:tr w:rsidR="00111535" w:rsidRPr="00111535" w:rsidTr="00111535">
        <w:tblPrEx>
          <w:tblCellMar>
            <w:left w:w="108" w:type="dxa"/>
            <w:bottom w:w="0" w:type="dxa"/>
            <w:right w:w="108" w:type="dxa"/>
          </w:tblCellMar>
        </w:tblPrEx>
        <w:trPr>
          <w:trHeight w:val="275"/>
        </w:trPr>
        <w:tc>
          <w:tcPr>
            <w:tcW w:w="9072"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5" w:type="dxa"/>
              <w:bottom w:w="15" w:type="dxa"/>
              <w:right w:w="15" w:type="dxa"/>
            </w:tcMar>
          </w:tcPr>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
                <w:bCs/>
                <w:color w:val="000000"/>
                <w:shd w:val="clear" w:color="auto" w:fill="FFFFFF"/>
              </w:rPr>
              <w:t xml:space="preserve">Panevėžio regioninės atliekų tvarkymo sistemos plėtra. Regioninio nepavojingų atliekų  sąvartyno įrengimas, PAV ataskaita. </w:t>
            </w:r>
            <w:r w:rsidRPr="00111535">
              <w:rPr>
                <w:rFonts w:eastAsia="Times New Roman" w:cs="Times New Roman"/>
                <w:b/>
                <w:bCs/>
                <w:color w:val="000000"/>
                <w:u w:val="single"/>
                <w:shd w:val="clear" w:color="auto" w:fill="FFFFFF"/>
              </w:rPr>
              <w:t xml:space="preserve">Triukšmas. </w:t>
            </w:r>
            <w:r w:rsidRPr="00111535">
              <w:rPr>
                <w:rFonts w:eastAsia="Times New Roman" w:cs="Times New Roman"/>
                <w:bCs/>
                <w:color w:val="000000"/>
                <w:shd w:val="clear" w:color="auto" w:fill="FFFFFF"/>
              </w:rPr>
              <w:t xml:space="preserve">Triukšmo padidėjimas bendrame foniniame triukšme bus nežymus. Triukšmas, keliamas dirbančių mechanizmų, galimas sąvartyno įrengimo, eksploatavimo ir seno sąvartyno uždarymo etapais. Kadangi artimiausi sąvartynui gyventojai yra už 0,7 km, jų gyvenamojoje zonoje triukšmas nebus intensyvus ir neviršys nustatytų normų. Pravažiuojant sąvartyną aptarnaujančioms transporto priemonėms triukšmą gali jausti arčiausiai kelio gyvenantys gyventojai. Tačiau suspaustų atliekų pervežimui bus naudojamos didelės transporto priemonės, todėl bendrai automobilių srautas apylinkėse padidės apie 17 proc. Toks triukšmas bus nenuolatinis ir bus tik dienos metu, dėl to neturėtų daryti didelės įtakos gyventojų sveikatai. Kaip kompensacinė triukšmo sumažinimo priemonė bus sodinami medžiai ir krūmynai, suformuotos gyvatvorės kelio ruože ties </w:t>
            </w:r>
            <w:proofErr w:type="spellStart"/>
            <w:r w:rsidRPr="00111535">
              <w:rPr>
                <w:rFonts w:eastAsia="Times New Roman" w:cs="Times New Roman"/>
                <w:bCs/>
                <w:color w:val="000000"/>
                <w:shd w:val="clear" w:color="auto" w:fill="FFFFFF"/>
              </w:rPr>
              <w:t>Liūdynės</w:t>
            </w:r>
            <w:proofErr w:type="spellEnd"/>
            <w:r w:rsidRPr="00111535">
              <w:rPr>
                <w:rFonts w:eastAsia="Times New Roman" w:cs="Times New Roman"/>
                <w:bCs/>
                <w:color w:val="000000"/>
                <w:shd w:val="clear" w:color="auto" w:fill="FFFFFF"/>
              </w:rPr>
              <w:t xml:space="preserve"> gyvenviete. </w:t>
            </w:r>
          </w:p>
          <w:p w:rsidR="00111535" w:rsidRPr="00111535" w:rsidRDefault="00111535" w:rsidP="00111535">
            <w:pPr>
              <w:spacing w:after="0"/>
              <w:jc w:val="both"/>
              <w:rPr>
                <w:rFonts w:eastAsia="Times New Roman" w:cs="Times New Roman"/>
                <w:bCs/>
                <w:color w:val="000000"/>
                <w:shd w:val="clear" w:color="auto" w:fill="FFFFFF"/>
              </w:rPr>
            </w:pPr>
            <w:r w:rsidRPr="00111535">
              <w:rPr>
                <w:rFonts w:eastAsia="Times New Roman" w:cs="Times New Roman"/>
                <w:b/>
                <w:bCs/>
                <w:color w:val="000000"/>
                <w:u w:val="single"/>
                <w:shd w:val="clear" w:color="auto" w:fill="FFFFFF"/>
              </w:rPr>
              <w:t>Dirvožemio tarša.</w:t>
            </w:r>
            <w:r w:rsidRPr="00111535">
              <w:rPr>
                <w:rFonts w:eastAsia="Times New Roman" w:cs="Times New Roman"/>
                <w:b/>
                <w:bCs/>
                <w:color w:val="000000"/>
                <w:shd w:val="clear" w:color="auto" w:fill="FFFFFF"/>
              </w:rPr>
              <w:t xml:space="preserve"> </w:t>
            </w:r>
            <w:r w:rsidRPr="00111535">
              <w:rPr>
                <w:rFonts w:eastAsia="Times New Roman" w:cs="Times New Roman"/>
                <w:bCs/>
                <w:color w:val="000000"/>
                <w:shd w:val="clear" w:color="auto" w:fill="FFFFFF"/>
              </w:rPr>
              <w:t xml:space="preserve">Greta numatomo regioninio sąvartyno įrengimo vietos žemės nėra dirbamos. Regioninio sąvartyno eksploatacija, jį tinkamai įrengus (dirbtinis izoliacinis dugno sluoksnis, filtrato surinkimo sistema ir kt.), neigiamos įtakos sąvartyno apylinkių dirvožemiui nedarys. Sąvartyno apylinkių dirvožemiai iš šiukšliavežių išpylimo metu iškritusiomis ir iš sąvartyno vėju išnešiojamomis atliekomis (popieriumi, polietileno maišeliais ir pan.) nebus teršiami, kadangi atliekos iškart suspaudžiamos </w:t>
            </w:r>
            <w:proofErr w:type="spellStart"/>
            <w:r w:rsidRPr="00111535">
              <w:rPr>
                <w:rFonts w:eastAsia="Times New Roman" w:cs="Times New Roman"/>
                <w:bCs/>
                <w:color w:val="000000"/>
                <w:shd w:val="clear" w:color="auto" w:fill="FFFFFF"/>
              </w:rPr>
              <w:t>kompaktoriumi</w:t>
            </w:r>
            <w:proofErr w:type="spellEnd"/>
            <w:r w:rsidRPr="00111535">
              <w:rPr>
                <w:rFonts w:eastAsia="Times New Roman" w:cs="Times New Roman"/>
                <w:bCs/>
                <w:color w:val="000000"/>
                <w:shd w:val="clear" w:color="auto" w:fill="FFFFFF"/>
              </w:rPr>
              <w:t xml:space="preserve">, periodiškai perdengiamos gruntu, be to - bus įrengtas sąvartyno aptvėrimas vielos tinklu, o sąvartyno operatorius bus įpareigotas surinkti išbarstytas atliekas. </w:t>
            </w:r>
          </w:p>
          <w:p w:rsidR="00111535" w:rsidRPr="00111535" w:rsidRDefault="00111535" w:rsidP="00111535">
            <w:pPr>
              <w:spacing w:after="0"/>
              <w:jc w:val="both"/>
              <w:rPr>
                <w:b/>
                <w:bCs/>
              </w:rPr>
            </w:pPr>
            <w:r w:rsidRPr="00111535">
              <w:rPr>
                <w:rFonts w:eastAsia="Times New Roman" w:cs="Times New Roman"/>
                <w:bCs/>
                <w:color w:val="000000"/>
                <w:shd w:val="clear" w:color="auto" w:fill="FFFFFF"/>
              </w:rPr>
              <w:t>Sąvartyne bus šalinamos komunalinės, buitinės ir joms panašios atliekos. Medicininės, infekuotos atliekos šalinamos nebus. Pavojingų medžiagų dėl planuojamos ūkinės veiklos nesusidarys, jos regioniniame sąvartyne nebus šalinamos. Radioaktyvių medžiagų nebus naudojama ir saugoma. Vibracijos dėl planuojamos ūkinės veiklos nesusidarys. Galimas vietovės lokalinis apšviestumo padidėjimas, nes sąvartyno teritorijoje numatomas apšvietimas tamsiu paros metu. Jonizuojančios ir nejonizuojančios (elektromagnetinės) spinduliuotės dėl ūkinės veiklos nebus</w:t>
            </w:r>
            <w:r w:rsidRPr="00111535">
              <w:rPr>
                <w:rFonts w:eastAsia="Times New Roman" w:cs="Times New Roman"/>
                <w:bCs/>
                <w:color w:val="000000"/>
                <w:shd w:val="clear" w:color="auto" w:fill="FFFFFF"/>
              </w:rPr>
              <w:fldChar w:fldCharType="begin"/>
            </w:r>
            <w:r w:rsidRPr="00111535">
              <w:rPr>
                <w:rFonts w:eastAsia="Times New Roman" w:cs="Times New Roman"/>
                <w:bCs/>
                <w:color w:val="000000"/>
                <w:shd w:val="clear" w:color="auto" w:fill="FFFFFF"/>
              </w:rPr>
              <w:instrText xml:space="preserve"> NOTEREF _Ref435780091 \f \h  \* MERGEFORMAT </w:instrText>
            </w:r>
            <w:r w:rsidRPr="00111535">
              <w:rPr>
                <w:rFonts w:eastAsia="Times New Roman" w:cs="Times New Roman"/>
                <w:bCs/>
                <w:color w:val="000000"/>
                <w:shd w:val="clear" w:color="auto" w:fill="FFFFFF"/>
              </w:rPr>
            </w:r>
            <w:r w:rsidRPr="00111535">
              <w:rPr>
                <w:rFonts w:eastAsia="Times New Roman" w:cs="Times New Roman"/>
                <w:bCs/>
                <w:color w:val="000000"/>
                <w:shd w:val="clear" w:color="auto" w:fill="FFFFFF"/>
              </w:rPr>
              <w:fldChar w:fldCharType="separate"/>
            </w:r>
            <w:r w:rsidRPr="00111535">
              <w:rPr>
                <w:rStyle w:val="FootnoteReference"/>
              </w:rPr>
              <w:t>1</w:t>
            </w:r>
            <w:r w:rsidRPr="00111535">
              <w:rPr>
                <w:rFonts w:eastAsia="Times New Roman" w:cs="Times New Roman"/>
                <w:bCs/>
                <w:color w:val="000000"/>
                <w:shd w:val="clear" w:color="auto" w:fill="FFFFFF"/>
              </w:rPr>
              <w:fldChar w:fldCharType="end"/>
            </w:r>
            <w:r w:rsidRPr="00111535">
              <w:rPr>
                <w:rFonts w:eastAsia="Times New Roman" w:cs="Times New Roman"/>
                <w:bCs/>
                <w:color w:val="000000"/>
                <w:shd w:val="clear" w:color="auto" w:fill="FFFFFF"/>
              </w:rPr>
              <w:t>.</w:t>
            </w:r>
          </w:p>
        </w:tc>
      </w:tr>
    </w:tbl>
    <w:p w:rsidR="00111535" w:rsidRPr="00111535" w:rsidRDefault="00111535" w:rsidP="00111535">
      <w:pPr>
        <w:spacing w:after="0"/>
        <w:jc w:val="both"/>
        <w:rPr>
          <w:rFonts w:cs="Times New Roman"/>
        </w:rPr>
      </w:pPr>
    </w:p>
    <w:p w:rsidR="00111535" w:rsidRDefault="00111535" w:rsidP="00111535">
      <w:pPr>
        <w:spacing w:after="0"/>
        <w:jc w:val="both"/>
        <w:rPr>
          <w:rFonts w:cs="Times New Roman"/>
          <w:b/>
        </w:rPr>
      </w:pPr>
    </w:p>
    <w:p w:rsidR="00111535" w:rsidRDefault="00111535" w:rsidP="00111535">
      <w:pPr>
        <w:spacing w:after="0"/>
        <w:jc w:val="both"/>
        <w:rPr>
          <w:rFonts w:cs="Times New Roman"/>
          <w:b/>
        </w:rPr>
      </w:pPr>
    </w:p>
    <w:p w:rsidR="00111535" w:rsidRPr="00111535" w:rsidRDefault="00111535" w:rsidP="00111535">
      <w:pPr>
        <w:spacing w:after="0"/>
        <w:jc w:val="both"/>
        <w:rPr>
          <w:rFonts w:cs="Times New Roman"/>
          <w:b/>
        </w:rPr>
      </w:pPr>
      <w:r w:rsidRPr="00111535">
        <w:rPr>
          <w:rFonts w:cs="Times New Roman"/>
          <w:b/>
        </w:rPr>
        <w:lastRenderedPageBreak/>
        <w:t>Išvados:</w:t>
      </w:r>
    </w:p>
    <w:p w:rsidR="00111535" w:rsidRPr="00111535" w:rsidRDefault="00111535" w:rsidP="00111535">
      <w:pPr>
        <w:tabs>
          <w:tab w:val="num" w:pos="1778"/>
        </w:tabs>
        <w:spacing w:after="0"/>
        <w:contextualSpacing/>
        <w:jc w:val="both"/>
        <w:rPr>
          <w:rFonts w:cs="Times New Roman"/>
        </w:rPr>
      </w:pPr>
      <w:r w:rsidRPr="00111535">
        <w:rPr>
          <w:rFonts w:cs="Times New Roman"/>
        </w:rPr>
        <w:t xml:space="preserve">Lietuvoje, kaip ir bet kurioje kitoje šalyje, atliekų tvarkymo sistemų įdiegimas ir reikiamos infrastruktūros statyba ir eksploatacija praktiškai visada sulaukia nepalankaus dalies vietos visuomenės požiūrio - žmonės nenori jokios ūkinės veiklos šalia savo gyvenamos vietos. Ta pati situacija yra ir su Panevėžio regioninės atliekų tvarkymo sistemos plėtra, ir ypač su vietos parinkimu regioniniam sąvartynui. Nė viena iš savivaldybių pasiūlytų vietų nebuvo visiškai priimtina pasiūlytų vietų apylinkių gyventojams. Labiausiai savo nepasitenkinimą reiškė </w:t>
      </w:r>
      <w:proofErr w:type="spellStart"/>
      <w:r w:rsidRPr="00111535">
        <w:rPr>
          <w:rFonts w:cs="Times New Roman"/>
        </w:rPr>
        <w:t>Liūdynės</w:t>
      </w:r>
      <w:proofErr w:type="spellEnd"/>
      <w:r w:rsidRPr="00111535">
        <w:rPr>
          <w:rFonts w:cs="Times New Roman"/>
        </w:rPr>
        <w:t xml:space="preserve"> bendruomenė, ilgus dešimtmečius jautusi kaimynystėje esančio netinkamai įrengto sąvartyno poveikį - nemalonius kvapus, po apylinkes vėjo nešiojamas šiukšles, dažnus sąvartyno filtrato </w:t>
      </w:r>
      <w:proofErr w:type="spellStart"/>
      <w:r w:rsidRPr="00111535">
        <w:rPr>
          <w:rFonts w:cs="Times New Roman"/>
        </w:rPr>
        <w:t>nutekėjimus</w:t>
      </w:r>
      <w:proofErr w:type="spellEnd"/>
      <w:r w:rsidRPr="00111535">
        <w:rPr>
          <w:rFonts w:cs="Times New Roman"/>
        </w:rPr>
        <w:t xml:space="preserve"> į aplinkinius paviršinio vandens telkinius, dulkėtumą ir triukšmą dėl pravažiuojančių šiukšliavežių. Nepertraukiama ilgus metus trukusi vietos gyventojų kova dėl švaresnės, sveikesnės ir </w:t>
      </w:r>
      <w:proofErr w:type="spellStart"/>
      <w:r w:rsidRPr="00111535">
        <w:rPr>
          <w:rFonts w:cs="Times New Roman"/>
        </w:rPr>
        <w:t>estetiškesnės</w:t>
      </w:r>
      <w:proofErr w:type="spellEnd"/>
      <w:r w:rsidRPr="00111535">
        <w:rPr>
          <w:rFonts w:cs="Times New Roman"/>
        </w:rPr>
        <w:t xml:space="preserve"> gyvenamosios aplinkos davė rezultatus – vietos savivaldos institucijos įdėjo daug pastangų ir finansinių išteklių likviduojant nepasitenkinimo priežastis (likviduoti sąvartyno teritorijoje buvę taršos šaltiniai – nemalonius kvapus skleidę AB ,,Sema” skystų atliekų rezervuarai, įrengti paviršinio vandens surinkimo ir nuvedimo grioviai, filtrato surinkimo ir perpumpavimo sistema, perkeltos ir užkonservuotos </w:t>
      </w:r>
      <w:proofErr w:type="spellStart"/>
      <w:r w:rsidRPr="00111535">
        <w:rPr>
          <w:rFonts w:cs="Times New Roman"/>
        </w:rPr>
        <w:t>galvanikos</w:t>
      </w:r>
      <w:proofErr w:type="spellEnd"/>
      <w:r w:rsidRPr="00111535">
        <w:rPr>
          <w:rFonts w:cs="Times New Roman"/>
        </w:rPr>
        <w:t xml:space="preserve"> pramonės atliekos, senų atliekų kaupas uždengtas grunto sluoksniu) bei susitariant dėl kompensacinių priemonių aplinkos kokybei gerinti.</w:t>
      </w:r>
    </w:p>
    <w:p w:rsidR="007A4A56" w:rsidRDefault="007A4A56" w:rsidP="00111535">
      <w:pPr>
        <w:spacing w:after="0"/>
        <w:rPr>
          <w:rFonts w:ascii="Times New Roman" w:eastAsia="Times New Roman" w:hAnsi="Times New Roman" w:cs="Times New Roman"/>
          <w:b/>
          <w:bCs/>
          <w:sz w:val="24"/>
          <w:szCs w:val="24"/>
          <w:lang w:eastAsia="lt-LT"/>
        </w:rPr>
      </w:pPr>
    </w:p>
    <w:p w:rsidR="00302C2E" w:rsidRDefault="00B3728A" w:rsidP="00111535">
      <w:pPr>
        <w:spacing w:after="0"/>
        <w:rPr>
          <w:rFonts w:eastAsia="Times New Roman" w:cs="Times New Roman"/>
          <w:b/>
          <w:bCs/>
          <w:sz w:val="24"/>
          <w:szCs w:val="24"/>
          <w:lang w:eastAsia="lt-LT"/>
        </w:rPr>
      </w:pPr>
      <w:r w:rsidRPr="00302C2E">
        <w:rPr>
          <w:rFonts w:eastAsia="Times New Roman" w:cs="Times New Roman"/>
          <w:b/>
          <w:bCs/>
          <w:sz w:val="24"/>
          <w:szCs w:val="24"/>
          <w:lang w:eastAsia="lt-LT"/>
        </w:rPr>
        <w:t>EKONOMINĖ-SOCIALINĖ APLINKA</w:t>
      </w:r>
    </w:p>
    <w:p w:rsidR="00DF62DD" w:rsidRPr="00A56605" w:rsidRDefault="00DF62DD" w:rsidP="00DF62DD">
      <w:pPr>
        <w:spacing w:after="0" w:line="240" w:lineRule="auto"/>
        <w:ind w:left="-284" w:right="142"/>
        <w:jc w:val="both"/>
        <w:rPr>
          <w:rFonts w:cs="Times New Roman"/>
          <w:b/>
          <w:sz w:val="24"/>
          <w:szCs w:val="24"/>
        </w:rPr>
      </w:pPr>
    </w:p>
    <w:tbl>
      <w:tblPr>
        <w:tblStyle w:val="TableGrid"/>
        <w:tblW w:w="5000" w:type="pct"/>
        <w:tblLook w:val="04A0" w:firstRow="1" w:lastRow="0" w:firstColumn="1" w:lastColumn="0" w:noHBand="0" w:noVBand="1"/>
      </w:tblPr>
      <w:tblGrid>
        <w:gridCol w:w="4530"/>
        <w:gridCol w:w="4531"/>
      </w:tblGrid>
      <w:tr w:rsidR="00DF62DD" w:rsidRPr="00A56605" w:rsidTr="003D5BC3">
        <w:trPr>
          <w:trHeight w:val="297"/>
        </w:trPr>
        <w:tc>
          <w:tcPr>
            <w:tcW w:w="5000" w:type="pct"/>
            <w:gridSpan w:val="2"/>
            <w:shd w:val="clear" w:color="auto" w:fill="70AD47"/>
            <w:vAlign w:val="center"/>
          </w:tcPr>
          <w:p w:rsidR="00DF62DD" w:rsidRPr="00DF62DD" w:rsidRDefault="00DF62DD" w:rsidP="003D5BC3">
            <w:pPr>
              <w:jc w:val="center"/>
              <w:rPr>
                <w:rFonts w:cs="Times New Roman"/>
                <w:b/>
                <w:color w:val="000000" w:themeColor="text1"/>
              </w:rPr>
            </w:pPr>
            <w:r w:rsidRPr="00DF62DD">
              <w:rPr>
                <w:rFonts w:cs="Times New Roman"/>
                <w:b/>
                <w:color w:val="000000" w:themeColor="text1"/>
              </w:rPr>
              <w:t>EKONOMINĖS – SOCIALINĖS APLINKOS VERTINIMAS</w:t>
            </w:r>
          </w:p>
        </w:tc>
      </w:tr>
      <w:tr w:rsidR="00DF62DD" w:rsidRPr="00A56605" w:rsidTr="003D5BC3">
        <w:trPr>
          <w:trHeight w:val="260"/>
        </w:trPr>
        <w:tc>
          <w:tcPr>
            <w:tcW w:w="2500" w:type="pct"/>
            <w:shd w:val="clear" w:color="auto" w:fill="C5E0B3"/>
            <w:vAlign w:val="center"/>
          </w:tcPr>
          <w:p w:rsidR="00DF62DD" w:rsidRPr="00DF62DD" w:rsidRDefault="00DF62DD" w:rsidP="00DF62DD">
            <w:pPr>
              <w:pStyle w:val="Heading2"/>
              <w:spacing w:before="0"/>
              <w:jc w:val="center"/>
              <w:outlineLvl w:val="1"/>
              <w:rPr>
                <w:rFonts w:asciiTheme="minorHAnsi" w:hAnsiTheme="minorHAnsi" w:cs="Times New Roman"/>
                <w:color w:val="000000" w:themeColor="text1"/>
                <w:sz w:val="22"/>
                <w:szCs w:val="22"/>
              </w:rPr>
            </w:pPr>
            <w:r w:rsidRPr="00DF62DD">
              <w:rPr>
                <w:rFonts w:asciiTheme="minorHAnsi" w:hAnsiTheme="minorHAnsi" w:cs="Times New Roman"/>
                <w:color w:val="000000" w:themeColor="text1"/>
                <w:sz w:val="22"/>
                <w:szCs w:val="22"/>
              </w:rPr>
              <w:t>Panevėžio rajono savivaldybė</w:t>
            </w:r>
          </w:p>
        </w:tc>
        <w:tc>
          <w:tcPr>
            <w:tcW w:w="2500" w:type="pct"/>
            <w:shd w:val="clear" w:color="auto" w:fill="C5E0B3"/>
            <w:vAlign w:val="center"/>
          </w:tcPr>
          <w:p w:rsidR="00DF62DD" w:rsidRPr="00DF62DD" w:rsidRDefault="00DF62DD" w:rsidP="00DF62DD">
            <w:pPr>
              <w:pStyle w:val="Heading2"/>
              <w:spacing w:before="0"/>
              <w:jc w:val="center"/>
              <w:outlineLvl w:val="1"/>
              <w:rPr>
                <w:rFonts w:asciiTheme="minorHAnsi" w:hAnsiTheme="minorHAnsi" w:cs="Times New Roman"/>
                <w:color w:val="000000" w:themeColor="text1"/>
                <w:sz w:val="22"/>
                <w:szCs w:val="22"/>
              </w:rPr>
            </w:pPr>
            <w:r w:rsidRPr="00DF62DD">
              <w:rPr>
                <w:rFonts w:asciiTheme="minorHAnsi" w:hAnsiTheme="minorHAnsi" w:cs="Times New Roman"/>
                <w:color w:val="000000" w:themeColor="text1"/>
                <w:sz w:val="22"/>
                <w:szCs w:val="22"/>
              </w:rPr>
              <w:t>Investuotojas (Valstybė ir ES)</w:t>
            </w:r>
          </w:p>
        </w:tc>
      </w:tr>
      <w:tr w:rsidR="00DF62DD" w:rsidRPr="00A56605" w:rsidTr="00DF62DD">
        <w:trPr>
          <w:trHeight w:val="529"/>
        </w:trPr>
        <w:tc>
          <w:tcPr>
            <w:tcW w:w="5000" w:type="pct"/>
            <w:gridSpan w:val="2"/>
            <w:shd w:val="clear" w:color="auto" w:fill="D9D9D9" w:themeFill="background1" w:themeFillShade="D9"/>
            <w:vAlign w:val="center"/>
          </w:tcPr>
          <w:p w:rsidR="00DF62DD" w:rsidRPr="00DF62DD" w:rsidRDefault="00DF62DD" w:rsidP="00DF62DD">
            <w:pPr>
              <w:pStyle w:val="Heading2"/>
              <w:spacing w:before="0"/>
              <w:jc w:val="center"/>
              <w:outlineLvl w:val="1"/>
              <w:rPr>
                <w:rFonts w:asciiTheme="minorHAnsi" w:hAnsiTheme="minorHAnsi" w:cs="Times New Roman"/>
                <w:color w:val="000000" w:themeColor="text1"/>
                <w:sz w:val="22"/>
                <w:szCs w:val="22"/>
              </w:rPr>
            </w:pPr>
            <w:r w:rsidRPr="00DF62DD">
              <w:rPr>
                <w:rFonts w:asciiTheme="minorHAnsi" w:hAnsiTheme="minorHAnsi" w:cs="Times New Roman"/>
                <w:color w:val="000000" w:themeColor="text1"/>
                <w:sz w:val="22"/>
                <w:szCs w:val="22"/>
              </w:rPr>
              <w:t>Investicijos – investicijos į regioninį sąvartyną didina investicijų lygį</w:t>
            </w:r>
          </w:p>
        </w:tc>
      </w:tr>
      <w:tr w:rsidR="00DF62DD" w:rsidRPr="00A56605" w:rsidTr="003D5BC3">
        <w:trPr>
          <w:trHeight w:val="529"/>
        </w:trPr>
        <w:tc>
          <w:tcPr>
            <w:tcW w:w="2500" w:type="pct"/>
          </w:tcPr>
          <w:p w:rsidR="00DF62DD" w:rsidRPr="00DF62DD" w:rsidRDefault="00DF62DD" w:rsidP="00DF62DD">
            <w:pPr>
              <w:pStyle w:val="NoSpacing"/>
              <w:rPr>
                <w:rFonts w:cs="Times New Roman"/>
                <w:i/>
              </w:rPr>
            </w:pPr>
            <w:r w:rsidRPr="00DF62DD">
              <w:rPr>
                <w:rFonts w:cs="Times New Roman"/>
                <w:i/>
              </w:rPr>
              <w:t>Koks investicijų lygis savivaldybėje?</w:t>
            </w:r>
          </w:p>
          <w:p w:rsidR="00DF62DD" w:rsidRPr="00DF62DD" w:rsidRDefault="00DF62DD" w:rsidP="00DF62DD">
            <w:pPr>
              <w:pStyle w:val="ListParagraph"/>
              <w:numPr>
                <w:ilvl w:val="0"/>
                <w:numId w:val="36"/>
              </w:numPr>
              <w:spacing w:after="200"/>
              <w:jc w:val="both"/>
              <w:rPr>
                <w:rFonts w:asciiTheme="minorHAnsi" w:hAnsiTheme="minorHAnsi"/>
                <w:sz w:val="22"/>
                <w:szCs w:val="22"/>
              </w:rPr>
            </w:pPr>
            <w:r w:rsidRPr="00DF62DD">
              <w:rPr>
                <w:rFonts w:asciiTheme="minorHAnsi" w:hAnsiTheme="minorHAnsi"/>
                <w:b/>
                <w:sz w:val="22"/>
                <w:szCs w:val="22"/>
              </w:rPr>
              <w:t>Materialinės investicijos</w:t>
            </w:r>
            <w:r w:rsidRPr="00DF62DD">
              <w:rPr>
                <w:rFonts w:asciiTheme="minorHAnsi" w:hAnsiTheme="minorHAnsi"/>
                <w:sz w:val="22"/>
                <w:szCs w:val="22"/>
              </w:rPr>
              <w:t xml:space="preserve"> Panevėžio r. sav. 2013 m. buvo 30,951 mln. eurų </w:t>
            </w:r>
            <w:r w:rsidRPr="00DF62DD">
              <w:rPr>
                <w:rFonts w:asciiTheme="minorHAnsi" w:hAnsiTheme="minorHAnsi"/>
                <w:i/>
                <w:sz w:val="22"/>
                <w:szCs w:val="22"/>
              </w:rPr>
              <w:t>(vidutiniškai vienai savivaldybei tenka 85,859 mln. eurų materialinių investicijų)</w:t>
            </w:r>
            <w:r w:rsidRPr="00DF62DD">
              <w:rPr>
                <w:rFonts w:asciiTheme="minorHAnsi" w:hAnsiTheme="minorHAnsi"/>
                <w:sz w:val="22"/>
                <w:szCs w:val="22"/>
              </w:rPr>
              <w:t>; bendras investicijų lygis per 2006–2013  m. sumažėjo 37,1 proc. – nuo 49,271 iki 30,951 mln. eurų. 2006–2013 m. bendras sukauptų materialinių investicijų kiekis savivaldybėje buvo 359,323 mln. eurų (vidutiniškai per vienus metus investuota 44,915 mln. eurų);</w:t>
            </w:r>
          </w:p>
          <w:p w:rsidR="00DF62DD" w:rsidRPr="00DF62DD" w:rsidRDefault="00DF62DD" w:rsidP="00DF62DD">
            <w:pPr>
              <w:pStyle w:val="ListParagraph"/>
              <w:numPr>
                <w:ilvl w:val="0"/>
                <w:numId w:val="36"/>
              </w:numPr>
              <w:spacing w:after="200"/>
              <w:jc w:val="both"/>
              <w:rPr>
                <w:rFonts w:asciiTheme="minorHAnsi" w:hAnsiTheme="minorHAnsi"/>
                <w:sz w:val="22"/>
                <w:szCs w:val="22"/>
              </w:rPr>
            </w:pPr>
            <w:r w:rsidRPr="00DF62DD">
              <w:rPr>
                <w:rFonts w:asciiTheme="minorHAnsi" w:hAnsiTheme="minorHAnsi"/>
                <w:b/>
                <w:sz w:val="22"/>
                <w:szCs w:val="22"/>
              </w:rPr>
              <w:t>Materialinės investicijos, tenkančios vienam gyventojui</w:t>
            </w:r>
            <w:r w:rsidRPr="00DF62DD">
              <w:rPr>
                <w:rFonts w:asciiTheme="minorHAnsi" w:hAnsiTheme="minorHAnsi"/>
                <w:sz w:val="22"/>
                <w:szCs w:val="22"/>
              </w:rPr>
              <w:t xml:space="preserve">, Panevėžio r. sav. 2013 m. buvo 821 eurai </w:t>
            </w:r>
            <w:r w:rsidRPr="00DF62DD">
              <w:rPr>
                <w:rFonts w:asciiTheme="minorHAnsi" w:hAnsiTheme="minorHAnsi"/>
                <w:i/>
                <w:sz w:val="22"/>
                <w:szCs w:val="22"/>
              </w:rPr>
              <w:t>(šalyje – 1 742 eurai)</w:t>
            </w:r>
            <w:r w:rsidRPr="00DF62DD">
              <w:rPr>
                <w:rFonts w:asciiTheme="minorHAnsi" w:hAnsiTheme="minorHAnsi"/>
                <w:sz w:val="22"/>
                <w:szCs w:val="22"/>
              </w:rPr>
              <w:t xml:space="preserve">; investicijos, tenkančios vienam gyventojui, savivaldybėje 2004–2013 m. išaugo 70 proc. – nuo 483 iki 821 eurų. </w:t>
            </w:r>
          </w:p>
        </w:tc>
        <w:tc>
          <w:tcPr>
            <w:tcW w:w="2500" w:type="pct"/>
          </w:tcPr>
          <w:p w:rsidR="00DF62DD" w:rsidRPr="00DF62DD" w:rsidRDefault="00DF62DD" w:rsidP="00DF62DD">
            <w:pPr>
              <w:jc w:val="both"/>
              <w:rPr>
                <w:rFonts w:cs="Times New Roman"/>
              </w:rPr>
            </w:pPr>
            <w:r w:rsidRPr="00DF62DD">
              <w:rPr>
                <w:rFonts w:cs="Times New Roman"/>
                <w:i/>
              </w:rPr>
              <w:t>Kiek investuota į paukštyną Panevėžio r. sav.?</w:t>
            </w:r>
          </w:p>
          <w:p w:rsidR="00DF62DD" w:rsidRPr="00DF62DD" w:rsidRDefault="00DF62DD" w:rsidP="00DF62DD">
            <w:pPr>
              <w:pStyle w:val="ListParagraph"/>
              <w:numPr>
                <w:ilvl w:val="0"/>
                <w:numId w:val="37"/>
              </w:numPr>
              <w:jc w:val="both"/>
              <w:rPr>
                <w:rFonts w:asciiTheme="minorHAnsi" w:hAnsiTheme="minorHAnsi"/>
                <w:sz w:val="22"/>
                <w:szCs w:val="22"/>
              </w:rPr>
            </w:pPr>
            <w:r w:rsidRPr="00DF62DD">
              <w:rPr>
                <w:rFonts w:asciiTheme="minorHAnsi" w:hAnsiTheme="minorHAnsi"/>
                <w:sz w:val="22"/>
                <w:szCs w:val="22"/>
              </w:rPr>
              <w:t>2003–2009 m. investuota</w:t>
            </w:r>
            <w:r w:rsidRPr="00DF62DD">
              <w:rPr>
                <w:rFonts w:asciiTheme="minorHAnsi" w:hAnsiTheme="minorHAnsi"/>
                <w:b/>
                <w:sz w:val="22"/>
                <w:szCs w:val="22"/>
              </w:rPr>
              <w:t xml:space="preserve"> apie 19,404 mln. eurų (67 mln. litų). </w:t>
            </w:r>
            <w:r w:rsidRPr="00DF62DD">
              <w:rPr>
                <w:rFonts w:asciiTheme="minorHAnsi" w:hAnsiTheme="minorHAnsi"/>
                <w:sz w:val="22"/>
                <w:szCs w:val="22"/>
              </w:rPr>
              <w:t>Vidutiniškai per vienus metus investuota apie 2,772 mln. eurų.</w:t>
            </w:r>
            <w:r w:rsidRPr="00DF62DD">
              <w:rPr>
                <w:rStyle w:val="FootnoteReference"/>
                <w:rFonts w:asciiTheme="minorHAnsi" w:hAnsiTheme="minorHAnsi"/>
                <w:sz w:val="22"/>
                <w:szCs w:val="22"/>
              </w:rPr>
              <w:footnoteReference w:id="3"/>
            </w:r>
          </w:p>
          <w:p w:rsidR="00DF62DD" w:rsidRPr="00DF62DD" w:rsidRDefault="00DF62DD" w:rsidP="00DF62DD">
            <w:pPr>
              <w:pStyle w:val="ListParagraph"/>
              <w:numPr>
                <w:ilvl w:val="0"/>
                <w:numId w:val="37"/>
              </w:numPr>
              <w:spacing w:after="200"/>
              <w:jc w:val="both"/>
              <w:rPr>
                <w:rFonts w:asciiTheme="minorHAnsi" w:hAnsiTheme="minorHAnsi"/>
                <w:color w:val="000000" w:themeColor="text1"/>
                <w:sz w:val="22"/>
                <w:szCs w:val="22"/>
              </w:rPr>
            </w:pPr>
            <w:r w:rsidRPr="00DF62DD">
              <w:rPr>
                <w:rFonts w:asciiTheme="minorHAnsi" w:hAnsiTheme="minorHAnsi"/>
                <w:b/>
                <w:sz w:val="22"/>
                <w:szCs w:val="22"/>
              </w:rPr>
              <w:t>Planuotos investicijos po 2009 m.</w:t>
            </w:r>
            <w:r w:rsidRPr="00DF62DD">
              <w:rPr>
                <w:rFonts w:asciiTheme="minorHAnsi" w:hAnsiTheme="minorHAnsi"/>
                <w:sz w:val="22"/>
                <w:szCs w:val="22"/>
              </w:rPr>
              <w:t>: investicijos į skirtingus projektus, susijusius su atliekų tvarkymu: tarp jų perdirbimas, rūšiavimas ir t.t.</w:t>
            </w:r>
          </w:p>
          <w:p w:rsidR="00DF62DD" w:rsidRPr="00DF62DD" w:rsidRDefault="00DF62DD" w:rsidP="00DF62DD">
            <w:pPr>
              <w:ind w:left="360"/>
              <w:jc w:val="both"/>
              <w:rPr>
                <w:rFonts w:cs="Times New Roman"/>
                <w:color w:val="000000" w:themeColor="text1"/>
              </w:rPr>
            </w:pPr>
          </w:p>
        </w:tc>
      </w:tr>
      <w:tr w:rsidR="00DF62DD" w:rsidRPr="00A56605" w:rsidTr="00DF62DD">
        <w:trPr>
          <w:trHeight w:val="529"/>
        </w:trPr>
        <w:tc>
          <w:tcPr>
            <w:tcW w:w="5000" w:type="pct"/>
            <w:gridSpan w:val="2"/>
            <w:shd w:val="clear" w:color="auto" w:fill="D9D9D9" w:themeFill="background1" w:themeFillShade="D9"/>
            <w:vAlign w:val="center"/>
          </w:tcPr>
          <w:p w:rsidR="00DF62DD" w:rsidRPr="00DF62DD" w:rsidRDefault="00DF62DD" w:rsidP="00DF62DD">
            <w:pPr>
              <w:jc w:val="center"/>
              <w:rPr>
                <w:rFonts w:cs="Times New Roman"/>
              </w:rPr>
            </w:pPr>
            <w:r w:rsidRPr="00DF62DD">
              <w:rPr>
                <w:rFonts w:cs="Times New Roman"/>
                <w:b/>
              </w:rPr>
              <w:t>DARBO UŽMOKESTIS IR DARBO VIETOS – investicijomis kuriamos darbo vietos, mažinamas nedarbas</w:t>
            </w:r>
          </w:p>
        </w:tc>
      </w:tr>
      <w:tr w:rsidR="00DF62DD" w:rsidRPr="00A56605" w:rsidTr="003D5BC3">
        <w:trPr>
          <w:trHeight w:val="529"/>
        </w:trPr>
        <w:tc>
          <w:tcPr>
            <w:tcW w:w="2500" w:type="pct"/>
          </w:tcPr>
          <w:p w:rsidR="00DF62DD" w:rsidRPr="00DF62DD" w:rsidRDefault="00DF62DD" w:rsidP="00DF62DD">
            <w:pPr>
              <w:jc w:val="both"/>
              <w:rPr>
                <w:rFonts w:cs="Times New Roman"/>
                <w:i/>
              </w:rPr>
            </w:pPr>
            <w:r w:rsidRPr="00DF62DD">
              <w:rPr>
                <w:rFonts w:cs="Times New Roman"/>
                <w:i/>
              </w:rPr>
              <w:t>Kokia nedarbo situacija savivaldybėje?</w:t>
            </w:r>
          </w:p>
          <w:p w:rsidR="00DF62DD" w:rsidRPr="00DF62DD" w:rsidRDefault="00DF62DD" w:rsidP="00DF62DD">
            <w:pPr>
              <w:pStyle w:val="ListParagraph"/>
              <w:numPr>
                <w:ilvl w:val="0"/>
                <w:numId w:val="38"/>
              </w:numPr>
              <w:jc w:val="both"/>
              <w:rPr>
                <w:rFonts w:asciiTheme="minorHAnsi" w:hAnsiTheme="minorHAnsi"/>
                <w:sz w:val="22"/>
                <w:szCs w:val="22"/>
              </w:rPr>
            </w:pPr>
            <w:r w:rsidRPr="00DF62DD">
              <w:rPr>
                <w:rFonts w:asciiTheme="minorHAnsi" w:hAnsiTheme="minorHAnsi"/>
                <w:b/>
                <w:sz w:val="22"/>
                <w:szCs w:val="22"/>
              </w:rPr>
              <w:t>Nedarbo lygis</w:t>
            </w:r>
            <w:r w:rsidRPr="00DF62DD">
              <w:rPr>
                <w:rFonts w:asciiTheme="minorHAnsi" w:hAnsiTheme="minorHAnsi"/>
                <w:sz w:val="22"/>
                <w:szCs w:val="22"/>
              </w:rPr>
              <w:t xml:space="preserve"> Panevėžio r. sav. 2014 m. buvo 10,8 proc. </w:t>
            </w:r>
            <w:r w:rsidRPr="00DF62DD">
              <w:rPr>
                <w:rFonts w:asciiTheme="minorHAnsi" w:hAnsiTheme="minorHAnsi"/>
                <w:i/>
                <w:sz w:val="22"/>
                <w:szCs w:val="22"/>
              </w:rPr>
              <w:t>(tai 1,3 proc. punkto didesnis nedarbo lygis nei bendras šalies nedarbo lygis, kuris yra 9,5 proc.);</w:t>
            </w:r>
            <w:r w:rsidRPr="00DF62DD">
              <w:rPr>
                <w:rFonts w:asciiTheme="minorHAnsi" w:hAnsiTheme="minorHAnsi"/>
                <w:sz w:val="22"/>
                <w:szCs w:val="22"/>
              </w:rPr>
              <w:t xml:space="preserve"> 2004–2014 m. nedarbo lygis Panevėžio r. sav. sumažėjo 6,1 </w:t>
            </w:r>
            <w:r w:rsidRPr="00DF62DD">
              <w:rPr>
                <w:rFonts w:asciiTheme="minorHAnsi" w:hAnsiTheme="minorHAnsi"/>
                <w:sz w:val="22"/>
                <w:szCs w:val="22"/>
              </w:rPr>
              <w:lastRenderedPageBreak/>
              <w:t xml:space="preserve">proc. punkto – nuo 11,5 iki 10,8 proc. Tačiau verta paminėti kad 2010 nedarbo lygis buvo </w:t>
            </w:r>
            <w:proofErr w:type="spellStart"/>
            <w:r w:rsidRPr="00DF62DD">
              <w:rPr>
                <w:rFonts w:asciiTheme="minorHAnsi" w:hAnsiTheme="minorHAnsi"/>
                <w:sz w:val="22"/>
                <w:szCs w:val="22"/>
              </w:rPr>
              <w:t>pasiekes</w:t>
            </w:r>
            <w:proofErr w:type="spellEnd"/>
            <w:r w:rsidRPr="00DF62DD">
              <w:rPr>
                <w:rFonts w:asciiTheme="minorHAnsi" w:hAnsiTheme="minorHAnsi"/>
                <w:sz w:val="22"/>
                <w:szCs w:val="22"/>
              </w:rPr>
              <w:t xml:space="preserve"> 19,3 proc. ir nuo to laiko stabiliai mažėjo</w:t>
            </w:r>
          </w:p>
          <w:p w:rsidR="00DF62DD" w:rsidRDefault="00DF62DD" w:rsidP="00DF62DD">
            <w:pPr>
              <w:pStyle w:val="ListParagraph"/>
              <w:numPr>
                <w:ilvl w:val="0"/>
                <w:numId w:val="38"/>
              </w:numPr>
              <w:jc w:val="both"/>
              <w:rPr>
                <w:rFonts w:asciiTheme="minorHAnsi" w:hAnsiTheme="minorHAnsi"/>
                <w:sz w:val="22"/>
                <w:szCs w:val="22"/>
              </w:rPr>
            </w:pPr>
            <w:r>
              <w:rPr>
                <w:rFonts w:asciiTheme="minorHAnsi" w:hAnsiTheme="minorHAnsi"/>
                <w:b/>
                <w:sz w:val="22"/>
                <w:szCs w:val="22"/>
              </w:rPr>
              <w:t>Registruotų</w:t>
            </w:r>
            <w:r w:rsidRPr="00DF62DD">
              <w:rPr>
                <w:rFonts w:asciiTheme="minorHAnsi" w:hAnsiTheme="minorHAnsi"/>
                <w:b/>
                <w:sz w:val="22"/>
                <w:szCs w:val="22"/>
              </w:rPr>
              <w:t xml:space="preserve"> bedarbių skaičius</w:t>
            </w:r>
            <w:r w:rsidRPr="00DF62DD">
              <w:rPr>
                <w:rFonts w:asciiTheme="minorHAnsi" w:hAnsiTheme="minorHAnsi"/>
                <w:sz w:val="22"/>
                <w:szCs w:val="22"/>
              </w:rPr>
              <w:t xml:space="preserve"> Panevėžio r. sav. 2014 m. buvo apie 2 500 </w:t>
            </w:r>
            <w:r w:rsidRPr="00DF62DD">
              <w:rPr>
                <w:rFonts w:asciiTheme="minorHAnsi" w:hAnsiTheme="minorHAnsi"/>
                <w:i/>
                <w:sz w:val="22"/>
                <w:szCs w:val="22"/>
              </w:rPr>
              <w:t>(vidutiniškai vienai savivaldybei tenka 2 883 registruoti bedarbiai)</w:t>
            </w:r>
            <w:r w:rsidRPr="00DF62DD">
              <w:rPr>
                <w:rFonts w:asciiTheme="minorHAnsi" w:hAnsiTheme="minorHAnsi"/>
                <w:sz w:val="22"/>
                <w:szCs w:val="22"/>
              </w:rPr>
              <w:t>; 2004–2014 m. registruotų bedarbių skaičius Panevėžio r. sav. sumažėjo 6,1 proc. – nuo 2 800 iki 2 500.</w:t>
            </w:r>
          </w:p>
          <w:p w:rsidR="00DF62DD" w:rsidRPr="00DF62DD" w:rsidRDefault="00DF62DD" w:rsidP="00DF62DD">
            <w:pPr>
              <w:jc w:val="both"/>
            </w:pPr>
          </w:p>
          <w:p w:rsidR="00DF62DD" w:rsidRPr="00DF62DD" w:rsidRDefault="00DF62DD" w:rsidP="00DF62DD">
            <w:pPr>
              <w:ind w:left="-76"/>
              <w:jc w:val="both"/>
              <w:rPr>
                <w:rFonts w:cs="Times New Roman"/>
                <w:i/>
              </w:rPr>
            </w:pPr>
            <w:r w:rsidRPr="00DF62DD">
              <w:rPr>
                <w:rFonts w:cs="Times New Roman"/>
                <w:i/>
              </w:rPr>
              <w:t>Koks darbo užmokestis mokamas savivaldybėje?</w:t>
            </w:r>
          </w:p>
          <w:p w:rsidR="00DF62DD" w:rsidRPr="00DF62DD" w:rsidRDefault="00DF62DD" w:rsidP="00DF62DD">
            <w:pPr>
              <w:pStyle w:val="NoSpacing"/>
              <w:numPr>
                <w:ilvl w:val="0"/>
                <w:numId w:val="41"/>
              </w:numPr>
              <w:jc w:val="both"/>
              <w:rPr>
                <w:rFonts w:cs="Times New Roman"/>
                <w:i/>
              </w:rPr>
            </w:pPr>
            <w:r w:rsidRPr="00DF62DD">
              <w:rPr>
                <w:rFonts w:cs="Times New Roman"/>
                <w:b/>
              </w:rPr>
              <w:t xml:space="preserve">Vidutinis </w:t>
            </w:r>
            <w:proofErr w:type="spellStart"/>
            <w:r w:rsidRPr="00DF62DD">
              <w:rPr>
                <w:rFonts w:cs="Times New Roman"/>
                <w:b/>
              </w:rPr>
              <w:t>bruto</w:t>
            </w:r>
            <w:proofErr w:type="spellEnd"/>
            <w:r w:rsidRPr="00DF62DD">
              <w:rPr>
                <w:rFonts w:cs="Times New Roman"/>
                <w:b/>
              </w:rPr>
              <w:t xml:space="preserve"> darbo užmokestis</w:t>
            </w:r>
            <w:r w:rsidRPr="00DF62DD">
              <w:rPr>
                <w:rFonts w:cs="Times New Roman"/>
              </w:rPr>
              <w:t xml:space="preserve"> Panevėžio r. sav. 2014 m. buvo 515,6 eurai </w:t>
            </w:r>
            <w:r w:rsidRPr="00DF62DD">
              <w:rPr>
                <w:rFonts w:cs="Times New Roman"/>
                <w:i/>
              </w:rPr>
              <w:t xml:space="preserve">(tai 161,8 eurų mažesnis užmokestis nei bendras šalies vidutinis </w:t>
            </w:r>
            <w:proofErr w:type="spellStart"/>
            <w:r w:rsidRPr="00DF62DD">
              <w:rPr>
                <w:rFonts w:cs="Times New Roman"/>
                <w:i/>
              </w:rPr>
              <w:t>bruto</w:t>
            </w:r>
            <w:proofErr w:type="spellEnd"/>
            <w:r w:rsidRPr="00DF62DD">
              <w:rPr>
                <w:rFonts w:cs="Times New Roman"/>
                <w:i/>
              </w:rPr>
              <w:t xml:space="preserve"> darbo užmokestis, kuris yra 677,4 eurai)</w:t>
            </w:r>
            <w:r w:rsidRPr="00DF62DD">
              <w:rPr>
                <w:rFonts w:cs="Times New Roman"/>
              </w:rPr>
              <w:t>; 2004–2014 m. užmokestis Panevėžio r. sav. išaugo 105 proc. – nuo 251,4 iki 515,6 euro.</w:t>
            </w:r>
          </w:p>
        </w:tc>
        <w:tc>
          <w:tcPr>
            <w:tcW w:w="2500" w:type="pct"/>
          </w:tcPr>
          <w:p w:rsidR="00DF62DD" w:rsidRPr="00DF62DD" w:rsidRDefault="00DF62DD" w:rsidP="00DF62DD">
            <w:pPr>
              <w:jc w:val="both"/>
              <w:rPr>
                <w:rFonts w:cs="Times New Roman"/>
                <w:i/>
              </w:rPr>
            </w:pPr>
            <w:r w:rsidRPr="00DF62DD">
              <w:rPr>
                <w:rFonts w:cs="Times New Roman"/>
                <w:i/>
              </w:rPr>
              <w:lastRenderedPageBreak/>
              <w:t>Kiek naujų darbo vietų sukurta sąvartyne?</w:t>
            </w:r>
          </w:p>
          <w:p w:rsidR="00DF62DD" w:rsidRPr="00DF62DD" w:rsidRDefault="00DF62DD" w:rsidP="00DF62DD">
            <w:pPr>
              <w:pStyle w:val="ListParagraph"/>
              <w:numPr>
                <w:ilvl w:val="0"/>
                <w:numId w:val="40"/>
              </w:numPr>
              <w:spacing w:after="200"/>
              <w:jc w:val="both"/>
              <w:rPr>
                <w:rFonts w:asciiTheme="minorHAnsi" w:hAnsiTheme="minorHAnsi"/>
                <w:sz w:val="22"/>
                <w:szCs w:val="22"/>
              </w:rPr>
            </w:pPr>
            <w:r w:rsidRPr="00DF62DD">
              <w:rPr>
                <w:rFonts w:asciiTheme="minorHAnsi" w:hAnsiTheme="minorHAnsi"/>
                <w:sz w:val="22"/>
                <w:szCs w:val="22"/>
              </w:rPr>
              <w:t>Sąvartynas Panevėžio r. sav. sukūrė 33 darbo vietas.</w:t>
            </w:r>
          </w:p>
          <w:p w:rsidR="00DF62DD" w:rsidRPr="00DF62DD" w:rsidRDefault="00DF62DD" w:rsidP="00DF62DD">
            <w:pPr>
              <w:jc w:val="both"/>
              <w:rPr>
                <w:rFonts w:cs="Times New Roman"/>
                <w:i/>
              </w:rPr>
            </w:pPr>
            <w:r w:rsidRPr="00DF62DD">
              <w:rPr>
                <w:rFonts w:cs="Times New Roman"/>
                <w:i/>
              </w:rPr>
              <w:t>Koks bendras darbuotojų skaičius Įmonėje?</w:t>
            </w:r>
          </w:p>
          <w:p w:rsidR="00DF62DD" w:rsidRPr="00DF62DD" w:rsidRDefault="00DF62DD" w:rsidP="00DF62DD">
            <w:pPr>
              <w:pStyle w:val="ListParagraph"/>
              <w:numPr>
                <w:ilvl w:val="0"/>
                <w:numId w:val="39"/>
              </w:numPr>
              <w:spacing w:after="200"/>
              <w:jc w:val="both"/>
              <w:rPr>
                <w:rFonts w:asciiTheme="minorHAnsi" w:hAnsiTheme="minorHAnsi"/>
                <w:i/>
                <w:sz w:val="22"/>
                <w:szCs w:val="22"/>
              </w:rPr>
            </w:pPr>
            <w:r w:rsidRPr="00DF62DD">
              <w:rPr>
                <w:rFonts w:asciiTheme="minorHAnsi" w:hAnsiTheme="minorHAnsi"/>
                <w:sz w:val="22"/>
                <w:szCs w:val="22"/>
              </w:rPr>
              <w:lastRenderedPageBreak/>
              <w:t>Bendras įmonės darbuotojų skaičius visoje Lietuvoje yra 33.</w:t>
            </w:r>
            <w:r w:rsidRPr="00DF62DD">
              <w:rPr>
                <w:rStyle w:val="FootnoteReference"/>
                <w:rFonts w:asciiTheme="minorHAnsi" w:hAnsiTheme="minorHAnsi"/>
                <w:sz w:val="22"/>
                <w:szCs w:val="22"/>
              </w:rPr>
              <w:footnoteReference w:id="4"/>
            </w:r>
          </w:p>
        </w:tc>
      </w:tr>
      <w:tr w:rsidR="00DF62DD" w:rsidRPr="00A56605" w:rsidTr="003D5BC3">
        <w:trPr>
          <w:trHeight w:val="529"/>
        </w:trPr>
        <w:tc>
          <w:tcPr>
            <w:tcW w:w="5000" w:type="pct"/>
            <w:gridSpan w:val="2"/>
            <w:shd w:val="clear" w:color="auto" w:fill="D9D9D9" w:themeFill="background1" w:themeFillShade="D9"/>
            <w:vAlign w:val="center"/>
          </w:tcPr>
          <w:p w:rsidR="00DF62DD" w:rsidRPr="00DF62DD" w:rsidRDefault="00DF62DD" w:rsidP="00DF62DD">
            <w:pPr>
              <w:jc w:val="center"/>
              <w:rPr>
                <w:rFonts w:cs="Times New Roman"/>
              </w:rPr>
            </w:pPr>
            <w:r w:rsidRPr="00DF62DD">
              <w:rPr>
                <w:rFonts w:cs="Times New Roman"/>
                <w:b/>
              </w:rPr>
              <w:lastRenderedPageBreak/>
              <w:t>MOKESČIAI – verslas ir dirbantys žmonės moka mokesčius į valstybės ir savivaldybių biudžetą</w:t>
            </w:r>
          </w:p>
        </w:tc>
      </w:tr>
      <w:tr w:rsidR="00DF62DD" w:rsidRPr="00A56605" w:rsidTr="003D5BC3">
        <w:trPr>
          <w:trHeight w:val="529"/>
        </w:trPr>
        <w:tc>
          <w:tcPr>
            <w:tcW w:w="2500" w:type="pct"/>
          </w:tcPr>
          <w:p w:rsidR="00DF62DD" w:rsidRPr="00DF62DD" w:rsidRDefault="00DF62DD" w:rsidP="00DF62DD">
            <w:pPr>
              <w:jc w:val="both"/>
              <w:rPr>
                <w:rFonts w:cs="Times New Roman"/>
                <w:i/>
              </w:rPr>
            </w:pPr>
            <w:r w:rsidRPr="00DF62DD">
              <w:rPr>
                <w:rFonts w:cs="Times New Roman"/>
                <w:i/>
              </w:rPr>
              <w:t>Kiek į savivaldybės biudžetą sumokama mokesčių?</w:t>
            </w:r>
          </w:p>
          <w:p w:rsidR="00DF62DD" w:rsidRPr="00DF62DD" w:rsidRDefault="00DF62DD" w:rsidP="00DF62DD">
            <w:pPr>
              <w:pStyle w:val="ListParagraph"/>
              <w:numPr>
                <w:ilvl w:val="0"/>
                <w:numId w:val="42"/>
              </w:numPr>
              <w:jc w:val="both"/>
              <w:rPr>
                <w:rFonts w:asciiTheme="minorHAnsi" w:hAnsiTheme="minorHAnsi"/>
                <w:b/>
                <w:sz w:val="22"/>
                <w:szCs w:val="22"/>
              </w:rPr>
            </w:pPr>
            <w:r w:rsidRPr="00DF62DD">
              <w:rPr>
                <w:rFonts w:asciiTheme="minorHAnsi" w:hAnsiTheme="minorHAnsi"/>
                <w:b/>
                <w:sz w:val="22"/>
                <w:szCs w:val="22"/>
              </w:rPr>
              <w:t xml:space="preserve">Į savivaldybės biudžetą sumokėti ir įskaityti mokesčiai: </w:t>
            </w:r>
            <w:r w:rsidRPr="00DF62DD">
              <w:rPr>
                <w:rFonts w:asciiTheme="minorHAnsi" w:hAnsiTheme="minorHAnsi"/>
                <w:sz w:val="22"/>
                <w:szCs w:val="22"/>
              </w:rPr>
              <w:t xml:space="preserve">2014 m. į Panevėžio r. savivaldybės biudžetą iš viso sumokėta 12,266 mln. eurų mokesčių </w:t>
            </w:r>
            <w:r w:rsidRPr="00DF62DD">
              <w:rPr>
                <w:rFonts w:asciiTheme="minorHAnsi" w:hAnsiTheme="minorHAnsi"/>
                <w:i/>
                <w:sz w:val="22"/>
                <w:szCs w:val="22"/>
              </w:rPr>
              <w:t>(į vienos savivaldybės biudžetą vidutiniškai sumokama 17,948 mln. eurų mokesčių)</w:t>
            </w:r>
            <w:r w:rsidRPr="00DF62DD">
              <w:rPr>
                <w:rFonts w:asciiTheme="minorHAnsi" w:hAnsiTheme="minorHAnsi"/>
                <w:sz w:val="22"/>
                <w:szCs w:val="22"/>
              </w:rPr>
              <w:t>; 2007–2014 m. į Panevėžio r. savivaldybės biudžetą įskaitytų mokesčių suma išaugo 7,9 proc. – nuo 11,365 iki 12,266 mln. eurų.</w:t>
            </w:r>
          </w:p>
        </w:tc>
        <w:tc>
          <w:tcPr>
            <w:tcW w:w="2500" w:type="pct"/>
          </w:tcPr>
          <w:p w:rsidR="00DF62DD" w:rsidRPr="00DF62DD" w:rsidRDefault="00DF62DD" w:rsidP="00DF62DD">
            <w:pPr>
              <w:jc w:val="both"/>
              <w:rPr>
                <w:rFonts w:cs="Times New Roman"/>
                <w:i/>
              </w:rPr>
            </w:pPr>
            <w:r w:rsidRPr="00DF62DD">
              <w:rPr>
                <w:rFonts w:cs="Times New Roman"/>
                <w:i/>
              </w:rPr>
              <w:t>Kiek iš viso Įmonė sumoka mokesčių į valstybės ir savivaldybės biudžetus?</w:t>
            </w:r>
          </w:p>
          <w:p w:rsidR="00DF62DD" w:rsidRPr="00DF62DD" w:rsidRDefault="00DF62DD" w:rsidP="00DF62DD">
            <w:pPr>
              <w:pStyle w:val="ListParagraph"/>
              <w:numPr>
                <w:ilvl w:val="0"/>
                <w:numId w:val="34"/>
              </w:numPr>
              <w:spacing w:after="200"/>
              <w:jc w:val="both"/>
              <w:rPr>
                <w:rFonts w:asciiTheme="minorHAnsi" w:hAnsiTheme="minorHAnsi"/>
                <w:i/>
                <w:sz w:val="22"/>
                <w:szCs w:val="22"/>
              </w:rPr>
            </w:pPr>
            <w:r w:rsidRPr="00DF62DD">
              <w:rPr>
                <w:rFonts w:asciiTheme="minorHAnsi" w:hAnsiTheme="minorHAnsi"/>
                <w:sz w:val="22"/>
                <w:szCs w:val="22"/>
              </w:rPr>
              <w:t>Informacija nepateikiama.</w:t>
            </w:r>
          </w:p>
        </w:tc>
      </w:tr>
      <w:tr w:rsidR="00DF62DD" w:rsidRPr="00A56605" w:rsidTr="00DF62DD">
        <w:trPr>
          <w:trHeight w:val="529"/>
        </w:trPr>
        <w:tc>
          <w:tcPr>
            <w:tcW w:w="5000" w:type="pct"/>
            <w:gridSpan w:val="2"/>
            <w:shd w:val="clear" w:color="auto" w:fill="D9D9D9" w:themeFill="background1" w:themeFillShade="D9"/>
            <w:vAlign w:val="center"/>
          </w:tcPr>
          <w:p w:rsidR="00DF62DD" w:rsidRPr="00DF62DD" w:rsidRDefault="00DF62DD" w:rsidP="00DF62DD">
            <w:pPr>
              <w:ind w:left="319"/>
              <w:jc w:val="center"/>
              <w:rPr>
                <w:rFonts w:cs="Times New Roman"/>
              </w:rPr>
            </w:pPr>
            <w:r w:rsidRPr="00DF62DD">
              <w:rPr>
                <w:rFonts w:cs="Times New Roman"/>
                <w:b/>
              </w:rPr>
              <w:t>SOCIALINĖ GEROVĖ – kaip verslas prisideda prie vietinės socialinės gerovės</w:t>
            </w:r>
          </w:p>
        </w:tc>
      </w:tr>
      <w:tr w:rsidR="00DF62DD" w:rsidRPr="00A56605" w:rsidTr="003D5BC3">
        <w:trPr>
          <w:trHeight w:val="529"/>
        </w:trPr>
        <w:tc>
          <w:tcPr>
            <w:tcW w:w="2500" w:type="pct"/>
          </w:tcPr>
          <w:p w:rsidR="00DF62DD" w:rsidRPr="00DF62DD" w:rsidRDefault="00DF62DD" w:rsidP="00DF62DD">
            <w:pPr>
              <w:jc w:val="both"/>
              <w:rPr>
                <w:rFonts w:cs="Times New Roman"/>
                <w:i/>
              </w:rPr>
            </w:pPr>
            <w:r w:rsidRPr="00DF62DD">
              <w:rPr>
                <w:rFonts w:cs="Times New Roman"/>
                <w:i/>
              </w:rPr>
              <w:t>Kokia socialinė situacija savivaldybėje?</w:t>
            </w:r>
          </w:p>
          <w:p w:rsidR="00DF62DD" w:rsidRPr="00DF62DD" w:rsidRDefault="00DF62DD" w:rsidP="00DF62DD">
            <w:pPr>
              <w:pStyle w:val="ListParagraph"/>
              <w:numPr>
                <w:ilvl w:val="0"/>
                <w:numId w:val="43"/>
              </w:numPr>
              <w:jc w:val="both"/>
              <w:rPr>
                <w:rFonts w:asciiTheme="minorHAnsi" w:hAnsiTheme="minorHAnsi"/>
                <w:b/>
                <w:sz w:val="22"/>
                <w:szCs w:val="22"/>
              </w:rPr>
            </w:pPr>
            <w:r w:rsidRPr="00DF62DD">
              <w:rPr>
                <w:rFonts w:asciiTheme="minorHAnsi" w:hAnsiTheme="minorHAnsi"/>
                <w:b/>
                <w:sz w:val="22"/>
                <w:szCs w:val="22"/>
              </w:rPr>
              <w:t xml:space="preserve">Gyventojai: </w:t>
            </w:r>
            <w:r w:rsidRPr="00DF62DD">
              <w:rPr>
                <w:rFonts w:asciiTheme="minorHAnsi" w:hAnsiTheme="minorHAnsi"/>
                <w:sz w:val="22"/>
                <w:szCs w:val="22"/>
              </w:rPr>
              <w:t xml:space="preserve">2015 m. pradžioje Panevėžio r. savivaldybė turėjo 37 173 gyventojų </w:t>
            </w:r>
            <w:r w:rsidRPr="00DF62DD">
              <w:rPr>
                <w:rFonts w:asciiTheme="minorHAnsi" w:hAnsiTheme="minorHAnsi"/>
                <w:i/>
                <w:sz w:val="22"/>
                <w:szCs w:val="22"/>
              </w:rPr>
              <w:t>(vidutiniškai vienai savivaldybei tenka 48 688 visų šalies gyventojų)</w:t>
            </w:r>
            <w:r w:rsidRPr="00DF62DD">
              <w:rPr>
                <w:rFonts w:asciiTheme="minorHAnsi" w:hAnsiTheme="minorHAnsi"/>
                <w:sz w:val="22"/>
                <w:szCs w:val="22"/>
              </w:rPr>
              <w:t>. 2005–2015 m. Panevėžio r. savivaldybės gyventojų skaičius sumažėjo 12,4 proc. – nuo 42 435 iki 37 173.</w:t>
            </w:r>
          </w:p>
          <w:p w:rsidR="00DF62DD" w:rsidRPr="00DF62DD" w:rsidRDefault="00DF62DD" w:rsidP="00DF62DD">
            <w:pPr>
              <w:pStyle w:val="ListParagraph"/>
              <w:numPr>
                <w:ilvl w:val="0"/>
                <w:numId w:val="43"/>
              </w:numPr>
              <w:jc w:val="both"/>
              <w:rPr>
                <w:rFonts w:asciiTheme="minorHAnsi" w:hAnsiTheme="minorHAnsi"/>
                <w:b/>
                <w:sz w:val="22"/>
                <w:szCs w:val="22"/>
              </w:rPr>
            </w:pPr>
            <w:r w:rsidRPr="00DF62DD">
              <w:rPr>
                <w:rFonts w:asciiTheme="minorHAnsi" w:hAnsiTheme="minorHAnsi"/>
                <w:b/>
                <w:sz w:val="22"/>
                <w:szCs w:val="22"/>
              </w:rPr>
              <w:t xml:space="preserve">Socialinės paramos gavėjai: </w:t>
            </w:r>
            <w:r w:rsidRPr="00DF62DD">
              <w:rPr>
                <w:rFonts w:asciiTheme="minorHAnsi" w:hAnsiTheme="minorHAnsi"/>
                <w:sz w:val="22"/>
                <w:szCs w:val="22"/>
              </w:rPr>
              <w:t>2014 m.</w:t>
            </w:r>
            <w:r w:rsidRPr="00DF62DD">
              <w:rPr>
                <w:rFonts w:asciiTheme="minorHAnsi" w:hAnsiTheme="minorHAnsi"/>
                <w:b/>
                <w:sz w:val="22"/>
                <w:szCs w:val="22"/>
              </w:rPr>
              <w:t xml:space="preserve"> </w:t>
            </w:r>
            <w:r w:rsidRPr="00DF62DD">
              <w:rPr>
                <w:rFonts w:asciiTheme="minorHAnsi" w:hAnsiTheme="minorHAnsi"/>
                <w:sz w:val="22"/>
                <w:szCs w:val="22"/>
              </w:rPr>
              <w:t xml:space="preserve">Panevėžio r. sav. buvo 2 307 socialinės pašalpos gavėjai </w:t>
            </w:r>
            <w:r w:rsidRPr="00DF62DD">
              <w:rPr>
                <w:rFonts w:asciiTheme="minorHAnsi" w:hAnsiTheme="minorHAnsi"/>
                <w:i/>
                <w:sz w:val="22"/>
                <w:szCs w:val="22"/>
              </w:rPr>
              <w:t>(vidutiniškai vienai savivaldybei tenka 2 335 socialinės pašalpos gavėjai)</w:t>
            </w:r>
            <w:r w:rsidRPr="00DF62DD">
              <w:rPr>
                <w:rFonts w:asciiTheme="minorHAnsi" w:hAnsiTheme="minorHAnsi"/>
                <w:sz w:val="22"/>
                <w:szCs w:val="22"/>
              </w:rPr>
              <w:t xml:space="preserve">; 2004–2014 m. socialinės pašalpos gavėjų skaičius Panevėžio r. sav. išaugo 46,8 </w:t>
            </w:r>
            <w:proofErr w:type="spellStart"/>
            <w:r w:rsidRPr="00DF62DD">
              <w:rPr>
                <w:rFonts w:asciiTheme="minorHAnsi" w:hAnsiTheme="minorHAnsi"/>
                <w:sz w:val="22"/>
                <w:szCs w:val="22"/>
              </w:rPr>
              <w:t>proc</w:t>
            </w:r>
            <w:proofErr w:type="spellEnd"/>
            <w:r w:rsidRPr="00DF62DD">
              <w:rPr>
                <w:rFonts w:asciiTheme="minorHAnsi" w:hAnsiTheme="minorHAnsi"/>
                <w:sz w:val="22"/>
                <w:szCs w:val="22"/>
              </w:rPr>
              <w:t xml:space="preserve"> – nuo 1 571 iki 2 307.</w:t>
            </w:r>
          </w:p>
          <w:p w:rsidR="00DF62DD" w:rsidRPr="00DF62DD" w:rsidRDefault="00DF62DD" w:rsidP="00DF62DD">
            <w:pPr>
              <w:pStyle w:val="ListParagraph"/>
              <w:numPr>
                <w:ilvl w:val="0"/>
                <w:numId w:val="43"/>
              </w:numPr>
              <w:spacing w:after="200"/>
              <w:jc w:val="both"/>
              <w:rPr>
                <w:rFonts w:asciiTheme="minorHAnsi" w:hAnsiTheme="minorHAnsi"/>
                <w:i/>
                <w:sz w:val="22"/>
                <w:szCs w:val="22"/>
              </w:rPr>
            </w:pPr>
            <w:r w:rsidRPr="00DF62DD">
              <w:rPr>
                <w:rFonts w:asciiTheme="minorHAnsi" w:hAnsiTheme="minorHAnsi"/>
                <w:b/>
                <w:sz w:val="22"/>
                <w:szCs w:val="22"/>
              </w:rPr>
              <w:t xml:space="preserve">Tarptautinė ir vidinė emigracija: </w:t>
            </w:r>
            <w:r w:rsidRPr="00DF62DD">
              <w:rPr>
                <w:rFonts w:asciiTheme="minorHAnsi" w:hAnsiTheme="minorHAnsi"/>
                <w:sz w:val="22"/>
                <w:szCs w:val="22"/>
              </w:rPr>
              <w:t xml:space="preserve">2014 m. iš Panevėžio r. savivaldybės išvyko 1 371 </w:t>
            </w:r>
            <w:r w:rsidRPr="00DF62DD">
              <w:rPr>
                <w:rFonts w:asciiTheme="minorHAnsi" w:hAnsiTheme="minorHAnsi"/>
                <w:sz w:val="22"/>
                <w:szCs w:val="22"/>
              </w:rPr>
              <w:lastRenderedPageBreak/>
              <w:t xml:space="preserve">gyventojai, t. y. 3,7 proc. visų savivaldybės gyventojų </w:t>
            </w:r>
            <w:r w:rsidRPr="00DF62DD">
              <w:rPr>
                <w:rFonts w:asciiTheme="minorHAnsi" w:hAnsiTheme="minorHAnsi"/>
                <w:i/>
                <w:sz w:val="22"/>
                <w:szCs w:val="22"/>
              </w:rPr>
              <w:t>(palyginus, 2014 m. šalyje emigravo 3,3 proc. visų šalies gyventojų; vidutiniškai vienai savivaldybei tenka 1 634 į kitą savivaldybę ar užsienį išvykę gyventojai)</w:t>
            </w:r>
            <w:r w:rsidRPr="00DF62DD">
              <w:rPr>
                <w:rFonts w:asciiTheme="minorHAnsi" w:hAnsiTheme="minorHAnsi"/>
                <w:sz w:val="22"/>
                <w:szCs w:val="22"/>
              </w:rPr>
              <w:t xml:space="preserve">; 2004–2014 m. iš Panevėžio r. savivaldybės išvykusių gyventojų skaičius </w:t>
            </w:r>
            <w:proofErr w:type="spellStart"/>
            <w:r w:rsidRPr="00DF62DD">
              <w:rPr>
                <w:rFonts w:asciiTheme="minorHAnsi" w:hAnsiTheme="minorHAnsi"/>
                <w:sz w:val="22"/>
                <w:szCs w:val="22"/>
              </w:rPr>
              <w:t>padidėjoo</w:t>
            </w:r>
            <w:proofErr w:type="spellEnd"/>
            <w:r w:rsidRPr="00DF62DD">
              <w:rPr>
                <w:rFonts w:asciiTheme="minorHAnsi" w:hAnsiTheme="minorHAnsi"/>
                <w:sz w:val="22"/>
                <w:szCs w:val="22"/>
              </w:rPr>
              <w:t xml:space="preserve"> 4,9 proc. – nuo 1 307 iki 1 371.</w:t>
            </w:r>
          </w:p>
        </w:tc>
        <w:tc>
          <w:tcPr>
            <w:tcW w:w="2500" w:type="pct"/>
          </w:tcPr>
          <w:p w:rsidR="00DF62DD" w:rsidRPr="00DF62DD" w:rsidRDefault="00DF62DD" w:rsidP="00DF62DD">
            <w:pPr>
              <w:jc w:val="both"/>
              <w:rPr>
                <w:rFonts w:cs="Times New Roman"/>
                <w:i/>
              </w:rPr>
            </w:pPr>
            <w:r w:rsidRPr="00DF62DD">
              <w:rPr>
                <w:rFonts w:cs="Times New Roman"/>
                <w:i/>
              </w:rPr>
              <w:lastRenderedPageBreak/>
              <w:t>Kaip Įmonės veikla prisideda prie vietinės bendruomenės puoselėjimo, socialinių projektų, aplinkos tvarkymo, paramos?</w:t>
            </w:r>
          </w:p>
          <w:p w:rsidR="00DF62DD" w:rsidRPr="00DF62DD" w:rsidRDefault="00DF62DD" w:rsidP="00DF62DD">
            <w:pPr>
              <w:pStyle w:val="ListParagraph"/>
              <w:numPr>
                <w:ilvl w:val="0"/>
                <w:numId w:val="44"/>
              </w:numPr>
              <w:spacing w:after="200"/>
              <w:jc w:val="both"/>
              <w:rPr>
                <w:rFonts w:asciiTheme="minorHAnsi" w:hAnsiTheme="minorHAnsi"/>
                <w:sz w:val="22"/>
                <w:szCs w:val="22"/>
              </w:rPr>
            </w:pPr>
            <w:r w:rsidRPr="00DF62DD">
              <w:rPr>
                <w:rFonts w:asciiTheme="minorHAnsi" w:hAnsiTheme="minorHAnsi"/>
                <w:b/>
                <w:sz w:val="22"/>
                <w:szCs w:val="22"/>
              </w:rPr>
              <w:t xml:space="preserve">Įmonės teikiama parama: </w:t>
            </w:r>
            <w:r w:rsidRPr="00DF62DD">
              <w:rPr>
                <w:rFonts w:asciiTheme="minorHAnsi" w:hAnsiTheme="minorHAnsi"/>
                <w:sz w:val="22"/>
                <w:szCs w:val="22"/>
              </w:rPr>
              <w:t xml:space="preserve">naujas sąvartynas efektyviau tvarkosi su atliekų </w:t>
            </w:r>
            <w:proofErr w:type="spellStart"/>
            <w:r w:rsidRPr="00DF62DD">
              <w:rPr>
                <w:rFonts w:asciiTheme="minorHAnsi" w:hAnsiTheme="minorHAnsi"/>
                <w:sz w:val="22"/>
                <w:szCs w:val="22"/>
              </w:rPr>
              <w:t>tvarkimu</w:t>
            </w:r>
            <w:proofErr w:type="spellEnd"/>
            <w:r w:rsidRPr="00DF62DD">
              <w:rPr>
                <w:rFonts w:asciiTheme="minorHAnsi" w:hAnsiTheme="minorHAnsi"/>
                <w:sz w:val="22"/>
                <w:szCs w:val="22"/>
              </w:rPr>
              <w:t xml:space="preserve"> nei visi prieš tai uždaryti sąvartynai. Sumažintas taršos kiekis regione ir paskatintas atliekų rūšiavimas.</w:t>
            </w:r>
            <w:r w:rsidRPr="00DF62DD">
              <w:rPr>
                <w:rStyle w:val="FootnoteReference"/>
                <w:rFonts w:asciiTheme="minorHAnsi" w:hAnsiTheme="minorHAnsi"/>
                <w:sz w:val="22"/>
                <w:szCs w:val="22"/>
              </w:rPr>
              <w:t xml:space="preserve"> </w:t>
            </w:r>
            <w:r w:rsidRPr="00DF62DD">
              <w:rPr>
                <w:rStyle w:val="FootnoteReference"/>
                <w:rFonts w:asciiTheme="minorHAnsi" w:hAnsiTheme="minorHAnsi"/>
                <w:sz w:val="22"/>
                <w:szCs w:val="22"/>
              </w:rPr>
              <w:footnoteReference w:id="5"/>
            </w:r>
          </w:p>
          <w:p w:rsidR="00DF62DD" w:rsidRPr="00DF62DD" w:rsidRDefault="00DF62DD" w:rsidP="00DF62DD">
            <w:pPr>
              <w:pStyle w:val="ListParagraph"/>
              <w:ind w:left="718"/>
              <w:jc w:val="both"/>
              <w:rPr>
                <w:rFonts w:asciiTheme="minorHAnsi" w:hAnsiTheme="minorHAnsi"/>
                <w:i/>
                <w:sz w:val="22"/>
                <w:szCs w:val="22"/>
              </w:rPr>
            </w:pPr>
          </w:p>
        </w:tc>
      </w:tr>
    </w:tbl>
    <w:p w:rsidR="00111535" w:rsidRPr="00302C2E" w:rsidRDefault="00111535" w:rsidP="00111535">
      <w:pPr>
        <w:spacing w:after="0"/>
        <w:rPr>
          <w:rFonts w:eastAsia="Times New Roman" w:cs="Times New Roman"/>
          <w:b/>
          <w:bCs/>
          <w:sz w:val="24"/>
          <w:szCs w:val="24"/>
          <w:lang w:eastAsia="lt-LT"/>
        </w:rPr>
      </w:pPr>
    </w:p>
    <w:p w:rsidR="00F14462" w:rsidRDefault="0011622B" w:rsidP="00111535">
      <w:pPr>
        <w:spacing w:after="0" w:line="240" w:lineRule="auto"/>
        <w:jc w:val="center"/>
        <w:rPr>
          <w:rFonts w:ascii="Times New Roman" w:eastAsia="Times New Roman" w:hAnsi="Times New Roman" w:cs="Times New Roman"/>
          <w:b/>
          <w:bCs/>
          <w:sz w:val="24"/>
          <w:szCs w:val="24"/>
          <w:lang w:eastAsia="lt-LT"/>
        </w:rPr>
      </w:pPr>
      <w:r w:rsidRPr="0011622B">
        <w:rPr>
          <w:rFonts w:ascii="Times New Roman" w:eastAsia="Times New Roman" w:hAnsi="Times New Roman" w:cs="Times New Roman"/>
          <w:b/>
          <w:bCs/>
          <w:noProof/>
          <w:sz w:val="24"/>
          <w:szCs w:val="24"/>
          <w:lang w:eastAsia="lt-LT"/>
        </w:rPr>
        <w:drawing>
          <wp:inline distT="0" distB="0" distL="0" distR="0">
            <wp:extent cx="5768276" cy="3276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rotWithShape="1">
                    <a:blip r:embed="rId14" cstate="print">
                      <a:extLst>
                        <a:ext uri="{28A0092B-C50C-407E-A947-70E740481C1C}">
                          <a14:useLocalDpi xmlns:a14="http://schemas.microsoft.com/office/drawing/2010/main" val="0"/>
                        </a:ext>
                      </a:extLst>
                    </a:blip>
                    <a:srcRect l="1976" r="1917" b="8270"/>
                    <a:stretch/>
                  </pic:blipFill>
                  <pic:spPr bwMode="auto">
                    <a:xfrm>
                      <a:off x="0" y="0"/>
                      <a:ext cx="5771126" cy="3278219"/>
                    </a:xfrm>
                    <a:prstGeom prst="rect">
                      <a:avLst/>
                    </a:prstGeom>
                    <a:ln>
                      <a:noFill/>
                    </a:ln>
                    <a:extLst>
                      <a:ext uri="{53640926-AAD7-44D8-BBD7-CCE9431645EC}">
                        <a14:shadowObscured xmlns:a14="http://schemas.microsoft.com/office/drawing/2010/main"/>
                      </a:ext>
                    </a:extLst>
                  </pic:spPr>
                </pic:pic>
              </a:graphicData>
            </a:graphic>
          </wp:inline>
        </w:drawing>
      </w:r>
    </w:p>
    <w:p w:rsidR="00124BBC" w:rsidRDefault="00124BBC" w:rsidP="00124BBC">
      <w:pPr>
        <w:rPr>
          <w:rFonts w:ascii="Times New Roman" w:hAnsi="Times New Roman" w:cs="Times New Roman"/>
          <w:highlight w:val="yellow"/>
        </w:rPr>
      </w:pPr>
    </w:p>
    <w:tbl>
      <w:tblPr>
        <w:tblStyle w:val="TableGrid"/>
        <w:tblW w:w="9640" w:type="dxa"/>
        <w:jc w:val="center"/>
        <w:tblLook w:val="04A0" w:firstRow="1" w:lastRow="0" w:firstColumn="1" w:lastColumn="0" w:noHBand="0" w:noVBand="1"/>
      </w:tblPr>
      <w:tblGrid>
        <w:gridCol w:w="2127"/>
        <w:gridCol w:w="63"/>
        <w:gridCol w:w="7450"/>
      </w:tblGrid>
      <w:tr w:rsidR="00124BBC" w:rsidRPr="002B300B" w:rsidTr="002B300B">
        <w:trPr>
          <w:trHeight w:val="430"/>
          <w:jc w:val="center"/>
        </w:trPr>
        <w:tc>
          <w:tcPr>
            <w:tcW w:w="9640" w:type="dxa"/>
            <w:gridSpan w:val="3"/>
            <w:shd w:val="clear" w:color="auto" w:fill="C5E0B3" w:themeFill="accent6" w:themeFillTint="66"/>
            <w:vAlign w:val="center"/>
          </w:tcPr>
          <w:p w:rsidR="00124BBC" w:rsidRPr="002B300B" w:rsidRDefault="002B300B" w:rsidP="002B300B">
            <w:pPr>
              <w:ind w:right="33" w:firstLine="34"/>
              <w:jc w:val="center"/>
            </w:pPr>
            <w:r w:rsidRPr="002B300B">
              <w:rPr>
                <w:b/>
              </w:rPr>
              <w:t>TEISĖ Į PRIVAČIĄ NUOSAVYBĘ</w:t>
            </w:r>
          </w:p>
        </w:tc>
      </w:tr>
      <w:tr w:rsidR="00124BBC" w:rsidRPr="002B300B" w:rsidTr="003D5BC3">
        <w:trPr>
          <w:trHeight w:val="1289"/>
          <w:jc w:val="center"/>
        </w:trPr>
        <w:tc>
          <w:tcPr>
            <w:tcW w:w="2127" w:type="dxa"/>
          </w:tcPr>
          <w:p w:rsidR="00124BBC" w:rsidRPr="002B300B" w:rsidRDefault="00124BBC" w:rsidP="002B300B">
            <w:pPr>
              <w:pStyle w:val="ListParagraph"/>
              <w:tabs>
                <w:tab w:val="left" w:pos="1594"/>
              </w:tabs>
              <w:ind w:left="-107" w:right="-109"/>
              <w:rPr>
                <w:rFonts w:asciiTheme="minorHAnsi" w:hAnsiTheme="minorHAnsi"/>
                <w:b/>
                <w:sz w:val="22"/>
                <w:szCs w:val="22"/>
              </w:rPr>
            </w:pPr>
            <w:r w:rsidRPr="002B300B">
              <w:rPr>
                <w:rFonts w:asciiTheme="minorHAnsi" w:hAnsiTheme="minorHAnsi"/>
                <w:b/>
                <w:sz w:val="22"/>
                <w:szCs w:val="22"/>
              </w:rPr>
              <w:t>PANEVĖŽIO RAJONO SAVIVALDYBĖ</w:t>
            </w:r>
          </w:p>
          <w:p w:rsidR="00124BBC" w:rsidRPr="002B300B" w:rsidRDefault="00124BBC" w:rsidP="002B300B">
            <w:pPr>
              <w:ind w:right="33" w:firstLine="34"/>
            </w:pPr>
          </w:p>
        </w:tc>
        <w:tc>
          <w:tcPr>
            <w:tcW w:w="7513" w:type="dxa"/>
            <w:gridSpan w:val="2"/>
          </w:tcPr>
          <w:p w:rsidR="00124BBC" w:rsidRPr="002B300B" w:rsidRDefault="00124BBC" w:rsidP="002B300B">
            <w:pPr>
              <w:tabs>
                <w:tab w:val="left" w:pos="-107"/>
              </w:tabs>
              <w:ind w:left="-107"/>
              <w:contextualSpacing/>
            </w:pPr>
            <w:r w:rsidRPr="002B300B">
              <w:rPr>
                <w:b/>
                <w:i/>
                <w:u w:val="single"/>
              </w:rPr>
              <w:t>Teisė:</w:t>
            </w:r>
            <w:r w:rsidRPr="002B300B">
              <w:t xml:space="preserve"> </w:t>
            </w:r>
          </w:p>
          <w:p w:rsidR="00124BBC" w:rsidRPr="002B300B" w:rsidRDefault="00124BBC" w:rsidP="002B300B">
            <w:pPr>
              <w:pStyle w:val="ListParagraph"/>
              <w:numPr>
                <w:ilvl w:val="0"/>
                <w:numId w:val="17"/>
              </w:numPr>
              <w:tabs>
                <w:tab w:val="left" w:pos="147"/>
              </w:tabs>
              <w:ind w:left="0" w:firstLine="5"/>
              <w:jc w:val="both"/>
              <w:rPr>
                <w:rFonts w:asciiTheme="minorHAnsi" w:eastAsia="Arial" w:hAnsiTheme="minorHAnsi" w:cs="Arial"/>
                <w:sz w:val="22"/>
                <w:szCs w:val="22"/>
              </w:rPr>
            </w:pPr>
            <w:r w:rsidRPr="002B300B">
              <w:rPr>
                <w:rFonts w:asciiTheme="minorHAnsi" w:eastAsia="Arial" w:hAnsiTheme="minorHAnsi" w:cs="Arial"/>
                <w:sz w:val="22"/>
                <w:szCs w:val="22"/>
              </w:rPr>
              <w:t>Planuoti regioninių sąvartynų plėtrą</w:t>
            </w:r>
            <w:r w:rsidRPr="002B300B">
              <w:rPr>
                <w:rFonts w:asciiTheme="minorHAnsi" w:hAnsiTheme="minorHAnsi"/>
                <w:bCs/>
                <w:iCs/>
                <w:sz w:val="22"/>
                <w:szCs w:val="22"/>
              </w:rPr>
              <w:t>.</w:t>
            </w:r>
          </w:p>
          <w:p w:rsidR="00124BBC" w:rsidRPr="002B300B" w:rsidRDefault="00124BBC" w:rsidP="002B300B">
            <w:pPr>
              <w:tabs>
                <w:tab w:val="left" w:pos="-107"/>
              </w:tabs>
              <w:ind w:left="-107" w:right="33" w:firstLine="5"/>
              <w:rPr>
                <w:b/>
                <w:i/>
                <w:u w:val="single"/>
              </w:rPr>
            </w:pPr>
            <w:r w:rsidRPr="002B300B">
              <w:rPr>
                <w:b/>
                <w:i/>
                <w:u w:val="single"/>
              </w:rPr>
              <w:t>Pareiga:</w:t>
            </w:r>
          </w:p>
          <w:p w:rsidR="00124BBC" w:rsidRPr="002B300B" w:rsidRDefault="00124BBC" w:rsidP="002B300B">
            <w:pPr>
              <w:numPr>
                <w:ilvl w:val="0"/>
                <w:numId w:val="18"/>
              </w:numPr>
              <w:tabs>
                <w:tab w:val="left" w:pos="147"/>
                <w:tab w:val="left" w:pos="288"/>
              </w:tabs>
              <w:ind w:left="0" w:right="150" w:firstLine="5"/>
              <w:contextualSpacing/>
              <w:jc w:val="both"/>
              <w:rPr>
                <w:highlight w:val="white"/>
              </w:rPr>
            </w:pPr>
            <w:r w:rsidRPr="002B300B">
              <w:rPr>
                <w:highlight w:val="white"/>
              </w:rPr>
              <w:t xml:space="preserve">Prieš pradedant bet kurią ūkinę veiklą (šiuo atveju sąvartyno rengimą), kuri gali turėti </w:t>
            </w:r>
            <w:r w:rsidRPr="002B300B">
              <w:rPr>
                <w:b/>
                <w:highlight w:val="white"/>
              </w:rPr>
              <w:t>akivaizdų</w:t>
            </w:r>
            <w:r w:rsidRPr="002B300B">
              <w:rPr>
                <w:highlight w:val="white"/>
              </w:rPr>
              <w:t xml:space="preserve"> poveikį aplinkai ir gyventojų sveikatai, </w:t>
            </w:r>
            <w:r w:rsidRPr="002B300B">
              <w:rPr>
                <w:b/>
                <w:i/>
                <w:highlight w:val="white"/>
              </w:rPr>
              <w:t>turi būti atliekamas poveikio aplinkai įvertinimas</w:t>
            </w:r>
            <w:r w:rsidRPr="002B300B">
              <w:rPr>
                <w:highlight w:val="white"/>
                <w:vertAlign w:val="superscript"/>
              </w:rPr>
              <w:footnoteReference w:id="6"/>
            </w:r>
            <w:r w:rsidRPr="002B300B">
              <w:rPr>
                <w:i/>
                <w:highlight w:val="white"/>
              </w:rPr>
              <w:t>;</w:t>
            </w:r>
          </w:p>
          <w:p w:rsidR="00124BBC" w:rsidRPr="002B300B" w:rsidRDefault="00124BBC" w:rsidP="002B300B">
            <w:pPr>
              <w:numPr>
                <w:ilvl w:val="0"/>
                <w:numId w:val="18"/>
              </w:numPr>
              <w:tabs>
                <w:tab w:val="left" w:pos="147"/>
                <w:tab w:val="left" w:pos="288"/>
              </w:tabs>
              <w:ind w:left="0" w:right="150" w:firstLine="5"/>
              <w:contextualSpacing/>
              <w:jc w:val="both"/>
              <w:rPr>
                <w:highlight w:val="white"/>
              </w:rPr>
            </w:pPr>
            <w:r w:rsidRPr="002B300B">
              <w:rPr>
                <w:highlight w:val="white"/>
              </w:rPr>
              <w:t>Užtikrinti, kad būtų laikomasi aplinkosauginių (atstumo iki gyvenvietės, numatyto jėgainių galingumo) reikalavimų</w:t>
            </w:r>
            <w:r w:rsidRPr="002B300B">
              <w:rPr>
                <w:rFonts w:eastAsia="Times New Roman" w:cs="Times New Roman"/>
                <w:bCs/>
                <w:color w:val="000000"/>
                <w:shd w:val="clear" w:color="auto" w:fill="FFFFFF"/>
              </w:rPr>
              <w:t>;</w:t>
            </w:r>
          </w:p>
          <w:p w:rsidR="00124BBC" w:rsidRPr="002B300B" w:rsidRDefault="00124BBC" w:rsidP="002B300B">
            <w:pPr>
              <w:numPr>
                <w:ilvl w:val="0"/>
                <w:numId w:val="18"/>
              </w:numPr>
              <w:tabs>
                <w:tab w:val="left" w:pos="147"/>
                <w:tab w:val="left" w:pos="288"/>
              </w:tabs>
              <w:ind w:left="0" w:right="150" w:firstLine="5"/>
              <w:contextualSpacing/>
              <w:jc w:val="both"/>
              <w:rPr>
                <w:highlight w:val="white"/>
              </w:rPr>
            </w:pPr>
            <w:r w:rsidRPr="002B300B">
              <w:rPr>
                <w:highlight w:val="white"/>
              </w:rPr>
              <w:t>paisyti greta gyvenančių asmenų teisių nevaržomai naudotis savo privačia nuosavybe (oriai, patogiai, saugiai naudotis gyvenamąja erdve).</w:t>
            </w:r>
            <w:r w:rsidRPr="002B300B">
              <w:rPr>
                <w:i/>
              </w:rPr>
              <w:t xml:space="preserve"> </w:t>
            </w:r>
          </w:p>
        </w:tc>
      </w:tr>
      <w:tr w:rsidR="00124BBC" w:rsidRPr="002B300B" w:rsidTr="003D5BC3">
        <w:trPr>
          <w:trHeight w:val="1511"/>
          <w:jc w:val="center"/>
        </w:trPr>
        <w:tc>
          <w:tcPr>
            <w:tcW w:w="2127" w:type="dxa"/>
          </w:tcPr>
          <w:p w:rsidR="00124BBC" w:rsidRPr="002B300B" w:rsidRDefault="00124BBC" w:rsidP="002B300B">
            <w:pPr>
              <w:ind w:left="29"/>
              <w:rPr>
                <w:rFonts w:eastAsia="Times New Roman" w:cs="Times New Roman"/>
                <w:b/>
                <w:bCs/>
                <w:color w:val="000000"/>
                <w:shd w:val="clear" w:color="auto" w:fill="FFFFFF"/>
                <w:lang w:eastAsia="lt-LT"/>
              </w:rPr>
            </w:pPr>
            <w:r w:rsidRPr="002B300B">
              <w:rPr>
                <w:rFonts w:eastAsia="Times New Roman" w:cs="Times New Roman"/>
                <w:b/>
                <w:bCs/>
                <w:color w:val="000000"/>
                <w:shd w:val="clear" w:color="auto" w:fill="FFFFFF"/>
                <w:lang w:eastAsia="lt-LT"/>
              </w:rPr>
              <w:lastRenderedPageBreak/>
              <w:t xml:space="preserve">BENDRUOMENĖ </w:t>
            </w:r>
          </w:p>
          <w:p w:rsidR="00124BBC" w:rsidRPr="002B300B" w:rsidRDefault="00124BBC" w:rsidP="002B300B">
            <w:pPr>
              <w:pStyle w:val="ListParagraph"/>
              <w:tabs>
                <w:tab w:val="left" w:pos="738"/>
              </w:tabs>
              <w:ind w:left="-107" w:right="33"/>
              <w:textAlignment w:val="baseline"/>
              <w:rPr>
                <w:rFonts w:asciiTheme="minorHAnsi" w:hAnsiTheme="minorHAnsi"/>
                <w:b/>
                <w:sz w:val="22"/>
                <w:szCs w:val="22"/>
              </w:rPr>
            </w:pPr>
            <w:r w:rsidRPr="002B300B">
              <w:rPr>
                <w:rFonts w:asciiTheme="minorHAnsi" w:hAnsiTheme="minorHAnsi"/>
                <w:bCs/>
                <w:color w:val="000000"/>
                <w:sz w:val="22"/>
                <w:szCs w:val="22"/>
                <w:shd w:val="clear" w:color="auto" w:fill="FFFFFF"/>
              </w:rPr>
              <w:t>(</w:t>
            </w:r>
            <w:proofErr w:type="spellStart"/>
            <w:r w:rsidRPr="002B300B">
              <w:rPr>
                <w:rFonts w:asciiTheme="minorHAnsi" w:hAnsiTheme="minorHAnsi"/>
                <w:bCs/>
                <w:i/>
                <w:color w:val="000000"/>
                <w:sz w:val="22"/>
                <w:szCs w:val="22"/>
                <w:shd w:val="clear" w:color="auto" w:fill="FFFFFF"/>
              </w:rPr>
              <w:t>Liūdynės</w:t>
            </w:r>
            <w:proofErr w:type="spellEnd"/>
            <w:r w:rsidRPr="002B300B">
              <w:rPr>
                <w:rFonts w:asciiTheme="minorHAnsi" w:hAnsiTheme="minorHAnsi"/>
                <w:bCs/>
                <w:i/>
                <w:color w:val="000000"/>
                <w:sz w:val="22"/>
                <w:szCs w:val="22"/>
                <w:shd w:val="clear" w:color="auto" w:fill="FFFFFF"/>
              </w:rPr>
              <w:t xml:space="preserve"> gyvenvietės gyventojai)</w:t>
            </w:r>
          </w:p>
        </w:tc>
        <w:tc>
          <w:tcPr>
            <w:tcW w:w="7513" w:type="dxa"/>
            <w:gridSpan w:val="2"/>
          </w:tcPr>
          <w:p w:rsidR="00124BBC" w:rsidRPr="002B300B" w:rsidRDefault="00124BBC" w:rsidP="002B300B">
            <w:pPr>
              <w:tabs>
                <w:tab w:val="left" w:pos="-107"/>
              </w:tabs>
              <w:ind w:left="-107" w:right="33" w:firstLine="5"/>
              <w:textAlignment w:val="baseline"/>
            </w:pPr>
            <w:r w:rsidRPr="002B300B">
              <w:rPr>
                <w:b/>
                <w:i/>
                <w:u w:val="single"/>
              </w:rPr>
              <w:t>Teisė:</w:t>
            </w:r>
            <w:r w:rsidRPr="002B300B">
              <w:t xml:space="preserve"> </w:t>
            </w:r>
          </w:p>
          <w:p w:rsidR="00124BBC" w:rsidRPr="002B300B" w:rsidRDefault="00124BBC" w:rsidP="002B300B">
            <w:pPr>
              <w:pStyle w:val="ListParagraph"/>
              <w:numPr>
                <w:ilvl w:val="0"/>
                <w:numId w:val="20"/>
              </w:numPr>
              <w:tabs>
                <w:tab w:val="left" w:pos="5"/>
                <w:tab w:val="left" w:pos="147"/>
                <w:tab w:val="left" w:pos="288"/>
              </w:tabs>
              <w:ind w:left="0" w:right="33" w:firstLine="5"/>
              <w:jc w:val="both"/>
              <w:textAlignment w:val="baseline"/>
              <w:rPr>
                <w:rFonts w:asciiTheme="minorHAnsi" w:hAnsiTheme="minorHAnsi" w:cs="Arial"/>
                <w:color w:val="000000"/>
                <w:sz w:val="22"/>
                <w:szCs w:val="22"/>
              </w:rPr>
            </w:pPr>
            <w:r w:rsidRPr="002B300B">
              <w:rPr>
                <w:rFonts w:asciiTheme="minorHAnsi" w:hAnsiTheme="minorHAnsi"/>
                <w:sz w:val="22"/>
                <w:szCs w:val="22"/>
              </w:rPr>
              <w:t>į privačią nuosavybę (gyvenamąją erdvę) ir orų naudojimąsi ja patogiai, saugiai, be jokių išorinių trukdžių, kurie galėtų bet kokiu būdu šią teisę suvaržyti.</w:t>
            </w:r>
          </w:p>
          <w:p w:rsidR="00124BBC" w:rsidRPr="002B300B" w:rsidRDefault="00124BBC" w:rsidP="002B300B">
            <w:pPr>
              <w:tabs>
                <w:tab w:val="left" w:pos="-107"/>
              </w:tabs>
              <w:ind w:left="-107" w:right="33" w:firstLine="5"/>
              <w:rPr>
                <w:b/>
                <w:i/>
              </w:rPr>
            </w:pPr>
            <w:r w:rsidRPr="002B300B">
              <w:rPr>
                <w:b/>
                <w:i/>
                <w:u w:val="single"/>
              </w:rPr>
              <w:t>Pareiga:</w:t>
            </w:r>
            <w:r w:rsidRPr="002B300B">
              <w:rPr>
                <w:b/>
                <w:i/>
              </w:rPr>
              <w:t xml:space="preserve"> </w:t>
            </w:r>
          </w:p>
          <w:p w:rsidR="00124BBC" w:rsidRPr="002B300B" w:rsidRDefault="00124BBC" w:rsidP="002B300B">
            <w:pPr>
              <w:pStyle w:val="ListParagraph"/>
              <w:numPr>
                <w:ilvl w:val="0"/>
                <w:numId w:val="19"/>
              </w:numPr>
              <w:tabs>
                <w:tab w:val="left" w:pos="5"/>
                <w:tab w:val="left" w:pos="147"/>
              </w:tabs>
              <w:ind w:left="0" w:right="33" w:firstLine="5"/>
              <w:jc w:val="both"/>
              <w:rPr>
                <w:rFonts w:asciiTheme="minorHAnsi" w:hAnsiTheme="minorHAnsi"/>
                <w:sz w:val="22"/>
                <w:szCs w:val="22"/>
              </w:rPr>
            </w:pPr>
            <w:r w:rsidRPr="002B300B">
              <w:rPr>
                <w:rFonts w:asciiTheme="minorHAnsi" w:hAnsiTheme="minorHAnsi"/>
                <w:sz w:val="22"/>
                <w:szCs w:val="22"/>
              </w:rPr>
              <w:t>Paisyti greta įsikūrusio investuotojo teisės naudotis savo privačia nuosavybe (nevaržomai naudoti, valdyti ir disponuoti jėgaine) ir teisėtų interesų (lūkesčio, kad greta gyvenanti bendruomenė teisės naudotis savo privačia nuosavybe tyčia nevaržys).</w:t>
            </w:r>
          </w:p>
          <w:p w:rsidR="00124BBC" w:rsidRPr="002B300B" w:rsidRDefault="00124BBC" w:rsidP="002B300B">
            <w:pPr>
              <w:pStyle w:val="ListParagraph"/>
              <w:tabs>
                <w:tab w:val="left" w:pos="5"/>
                <w:tab w:val="left" w:pos="147"/>
              </w:tabs>
              <w:ind w:left="5" w:right="33"/>
              <w:rPr>
                <w:rFonts w:asciiTheme="minorHAnsi" w:hAnsiTheme="minorHAnsi"/>
                <w:sz w:val="22"/>
                <w:szCs w:val="22"/>
              </w:rPr>
            </w:pPr>
          </w:p>
        </w:tc>
      </w:tr>
      <w:tr w:rsidR="00124BBC" w:rsidRPr="002B300B" w:rsidTr="002B300B">
        <w:trPr>
          <w:trHeight w:val="411"/>
          <w:jc w:val="center"/>
        </w:trPr>
        <w:tc>
          <w:tcPr>
            <w:tcW w:w="9640" w:type="dxa"/>
            <w:gridSpan w:val="3"/>
            <w:shd w:val="clear" w:color="auto" w:fill="F7CAAC" w:themeFill="accent2" w:themeFillTint="66"/>
            <w:vAlign w:val="center"/>
          </w:tcPr>
          <w:p w:rsidR="00124BBC" w:rsidRPr="002B300B" w:rsidRDefault="002B300B" w:rsidP="002B300B">
            <w:pPr>
              <w:tabs>
                <w:tab w:val="left" w:pos="1102"/>
              </w:tabs>
              <w:ind w:right="33" w:firstLine="34"/>
              <w:jc w:val="center"/>
            </w:pPr>
            <w:r w:rsidRPr="002B300B">
              <w:rPr>
                <w:b/>
              </w:rPr>
              <w:t>ŪKINĖS VEIKLOS LAISVĖ IR INICIATYVA</w:t>
            </w:r>
          </w:p>
        </w:tc>
      </w:tr>
      <w:tr w:rsidR="00124BBC" w:rsidRPr="002B300B" w:rsidTr="003D5BC3">
        <w:trPr>
          <w:trHeight w:val="458"/>
          <w:jc w:val="center"/>
        </w:trPr>
        <w:tc>
          <w:tcPr>
            <w:tcW w:w="2127" w:type="dxa"/>
          </w:tcPr>
          <w:p w:rsidR="00124BBC" w:rsidRPr="002B300B" w:rsidRDefault="00124BBC" w:rsidP="002B300B">
            <w:pPr>
              <w:ind w:left="-107" w:right="33"/>
              <w:rPr>
                <w:i/>
              </w:rPr>
            </w:pPr>
            <w:r w:rsidRPr="002B300B">
              <w:rPr>
                <w:b/>
              </w:rPr>
              <w:t>PANEVĖŽIO MIESTO SAVIVALDYBĖ</w:t>
            </w:r>
          </w:p>
          <w:p w:rsidR="00124BBC" w:rsidRPr="002B300B" w:rsidRDefault="00124BBC" w:rsidP="002B300B">
            <w:pPr>
              <w:pStyle w:val="ListParagraph"/>
              <w:ind w:left="35" w:right="-109"/>
              <w:rPr>
                <w:rFonts w:asciiTheme="minorHAnsi" w:hAnsiTheme="minorHAnsi"/>
                <w:b/>
                <w:sz w:val="22"/>
                <w:szCs w:val="22"/>
              </w:rPr>
            </w:pPr>
          </w:p>
        </w:tc>
        <w:tc>
          <w:tcPr>
            <w:tcW w:w="7513" w:type="dxa"/>
            <w:gridSpan w:val="2"/>
          </w:tcPr>
          <w:p w:rsidR="00124BBC" w:rsidRPr="002B300B" w:rsidRDefault="00124BBC" w:rsidP="002B300B">
            <w:pPr>
              <w:tabs>
                <w:tab w:val="left" w:pos="317"/>
              </w:tabs>
              <w:spacing w:after="240"/>
              <w:ind w:left="-107" w:right="33"/>
              <w:rPr>
                <w:rFonts w:eastAsia="Times New Roman" w:cs="Arial"/>
                <w:bCs/>
                <w:lang w:eastAsia="lt-LT"/>
              </w:rPr>
            </w:pPr>
            <w:r w:rsidRPr="002B300B">
              <w:rPr>
                <w:b/>
                <w:i/>
              </w:rPr>
              <w:t>Pareiga</w:t>
            </w:r>
            <w:r w:rsidRPr="002B300B">
              <w:rPr>
                <w:i/>
              </w:rPr>
              <w:t>:</w:t>
            </w:r>
            <w:r w:rsidRPr="002B300B">
              <w:rPr>
                <w:rFonts w:eastAsia="Times New Roman" w:cs="Arial"/>
                <w:bCs/>
                <w:i/>
                <w:iCs/>
                <w:lang w:eastAsia="lt-LT"/>
              </w:rPr>
              <w:t xml:space="preserve"> </w:t>
            </w:r>
            <w:r w:rsidRPr="002B300B">
              <w:rPr>
                <w:rFonts w:eastAsia="Times New Roman" w:cs="Arial"/>
                <w:bCs/>
                <w:iCs/>
                <w:lang w:eastAsia="lt-LT"/>
              </w:rPr>
              <w:t xml:space="preserve">Užtikrinti </w:t>
            </w:r>
            <w:r w:rsidRPr="002B300B">
              <w:rPr>
                <w:rFonts w:eastAsia="Times New Roman" w:cs="Arial"/>
                <w:bCs/>
                <w:lang w:eastAsia="lt-LT"/>
              </w:rPr>
              <w:t>PAV procedūros atlikimą.</w:t>
            </w:r>
          </w:p>
        </w:tc>
      </w:tr>
      <w:tr w:rsidR="00124BBC" w:rsidRPr="002B300B" w:rsidTr="003D5BC3">
        <w:trPr>
          <w:trHeight w:val="2086"/>
          <w:jc w:val="center"/>
        </w:trPr>
        <w:tc>
          <w:tcPr>
            <w:tcW w:w="2127" w:type="dxa"/>
          </w:tcPr>
          <w:p w:rsidR="00124BBC" w:rsidRPr="002B300B" w:rsidRDefault="00124BBC" w:rsidP="002B300B">
            <w:pPr>
              <w:ind w:left="29"/>
              <w:rPr>
                <w:rFonts w:eastAsia="Times New Roman" w:cs="Times New Roman"/>
                <w:b/>
                <w:bCs/>
                <w:color w:val="000000"/>
                <w:shd w:val="clear" w:color="auto" w:fill="FFFFFF"/>
                <w:lang w:eastAsia="lt-LT"/>
              </w:rPr>
            </w:pPr>
            <w:r w:rsidRPr="002B300B">
              <w:rPr>
                <w:rFonts w:eastAsia="Times New Roman" w:cs="Times New Roman"/>
                <w:b/>
                <w:bCs/>
                <w:color w:val="000000"/>
                <w:shd w:val="clear" w:color="auto" w:fill="FFFFFF"/>
                <w:lang w:eastAsia="lt-LT"/>
              </w:rPr>
              <w:t xml:space="preserve">BENDRUOMENĖ </w:t>
            </w:r>
          </w:p>
          <w:p w:rsidR="00124BBC" w:rsidRPr="002B300B" w:rsidRDefault="00124BBC" w:rsidP="002B300B">
            <w:pPr>
              <w:ind w:left="-107" w:right="33"/>
            </w:pPr>
          </w:p>
        </w:tc>
        <w:tc>
          <w:tcPr>
            <w:tcW w:w="7513" w:type="dxa"/>
            <w:gridSpan w:val="2"/>
          </w:tcPr>
          <w:p w:rsidR="00124BBC" w:rsidRPr="002B300B" w:rsidRDefault="00124BBC" w:rsidP="002B300B">
            <w:pPr>
              <w:ind w:left="-107" w:right="-1"/>
              <w:rPr>
                <w:rFonts w:eastAsia="Times New Roman" w:cs="Times New Roman"/>
                <w:b/>
                <w:i/>
                <w:color w:val="000000"/>
                <w:u w:val="single"/>
                <w:lang w:eastAsia="lt-LT"/>
              </w:rPr>
            </w:pPr>
            <w:r w:rsidRPr="002B300B">
              <w:rPr>
                <w:rFonts w:eastAsia="Times New Roman" w:cs="Times New Roman"/>
                <w:b/>
                <w:i/>
                <w:color w:val="000000"/>
                <w:u w:val="single"/>
                <w:lang w:eastAsia="lt-LT"/>
              </w:rPr>
              <w:t xml:space="preserve">Teisė: </w:t>
            </w:r>
          </w:p>
          <w:p w:rsidR="00124BBC" w:rsidRPr="002B300B" w:rsidRDefault="00124BBC" w:rsidP="002B300B">
            <w:pPr>
              <w:pStyle w:val="ListParagraph"/>
              <w:framePr w:hSpace="180" w:wrap="around" w:vAnchor="text" w:hAnchor="text" w:x="-147" w:y="1"/>
              <w:numPr>
                <w:ilvl w:val="0"/>
                <w:numId w:val="16"/>
              </w:numPr>
              <w:tabs>
                <w:tab w:val="left" w:pos="198"/>
              </w:tabs>
              <w:ind w:left="0" w:right="33" w:firstLine="34"/>
              <w:suppressOverlap/>
              <w:jc w:val="both"/>
              <w:textAlignment w:val="baseline"/>
              <w:rPr>
                <w:rFonts w:asciiTheme="minorHAnsi" w:hAnsiTheme="minorHAnsi" w:cs="Arial"/>
                <w:iCs/>
                <w:color w:val="000000"/>
                <w:sz w:val="22"/>
                <w:szCs w:val="22"/>
              </w:rPr>
            </w:pPr>
            <w:r w:rsidRPr="002B300B">
              <w:rPr>
                <w:rFonts w:asciiTheme="minorHAnsi" w:hAnsiTheme="minorHAnsi" w:cs="Arial"/>
                <w:iCs/>
                <w:color w:val="000000"/>
                <w:sz w:val="22"/>
                <w:szCs w:val="22"/>
              </w:rPr>
              <w:t>Būti tinkamai informuota apie</w:t>
            </w:r>
            <w:r w:rsidRPr="002B300B">
              <w:rPr>
                <w:rFonts w:asciiTheme="minorHAnsi" w:hAnsiTheme="minorHAnsi"/>
                <w:sz w:val="22"/>
                <w:szCs w:val="22"/>
                <w:highlight w:val="white"/>
              </w:rPr>
              <w:t xml:space="preserve"> jėgainių įrengimą</w:t>
            </w:r>
            <w:r w:rsidRPr="002B300B">
              <w:rPr>
                <w:rFonts w:asciiTheme="minorHAnsi" w:hAnsiTheme="minorHAnsi" w:cs="Arial"/>
                <w:iCs/>
                <w:color w:val="000000"/>
                <w:sz w:val="22"/>
                <w:szCs w:val="22"/>
              </w:rPr>
              <w:t>;</w:t>
            </w:r>
          </w:p>
          <w:p w:rsidR="00124BBC" w:rsidRPr="002B300B" w:rsidRDefault="00124BBC" w:rsidP="002B300B">
            <w:pPr>
              <w:pStyle w:val="ListParagraph"/>
              <w:framePr w:hSpace="180" w:wrap="around" w:vAnchor="text" w:hAnchor="text" w:x="-147" w:y="1"/>
              <w:numPr>
                <w:ilvl w:val="0"/>
                <w:numId w:val="16"/>
              </w:numPr>
              <w:tabs>
                <w:tab w:val="left" w:pos="198"/>
              </w:tabs>
              <w:ind w:left="34" w:right="33" w:firstLine="34"/>
              <w:suppressOverlap/>
              <w:jc w:val="both"/>
              <w:textAlignment w:val="baseline"/>
              <w:rPr>
                <w:rFonts w:asciiTheme="minorHAnsi" w:hAnsiTheme="minorHAnsi" w:cs="Arial"/>
                <w:b/>
                <w:iCs/>
                <w:color w:val="000000"/>
                <w:sz w:val="22"/>
                <w:szCs w:val="22"/>
              </w:rPr>
            </w:pPr>
            <w:r w:rsidRPr="002B300B">
              <w:rPr>
                <w:rFonts w:asciiTheme="minorHAnsi" w:hAnsiTheme="minorHAnsi" w:cs="Arial"/>
                <w:iCs/>
                <w:color w:val="000000"/>
                <w:sz w:val="22"/>
                <w:szCs w:val="22"/>
              </w:rPr>
              <w:t>t</w:t>
            </w:r>
            <w:r w:rsidRPr="002B300B">
              <w:rPr>
                <w:rFonts w:asciiTheme="minorHAnsi" w:hAnsiTheme="minorHAnsi" w:cs="Arial"/>
                <w:color w:val="000000"/>
                <w:sz w:val="22"/>
                <w:szCs w:val="22"/>
              </w:rPr>
              <w:t>eisė dėl planuojamos veiklos pateikti motyvuotą nuomonę PAV procese, taip pat TIPK išdavimo procese;</w:t>
            </w:r>
          </w:p>
          <w:p w:rsidR="00124BBC" w:rsidRPr="002B300B" w:rsidRDefault="00124BBC" w:rsidP="002B300B">
            <w:pPr>
              <w:pStyle w:val="ListParagraph"/>
              <w:framePr w:hSpace="180" w:wrap="around" w:vAnchor="text" w:hAnchor="text" w:x="-147" w:y="1"/>
              <w:numPr>
                <w:ilvl w:val="0"/>
                <w:numId w:val="16"/>
              </w:numPr>
              <w:tabs>
                <w:tab w:val="left" w:pos="198"/>
              </w:tabs>
              <w:ind w:left="34" w:right="33" w:firstLine="34"/>
              <w:suppressOverlap/>
              <w:jc w:val="both"/>
              <w:textAlignment w:val="baseline"/>
              <w:rPr>
                <w:rFonts w:asciiTheme="minorHAnsi" w:hAnsiTheme="minorHAnsi" w:cs="Arial"/>
                <w:b/>
                <w:iCs/>
                <w:color w:val="000000"/>
                <w:sz w:val="22"/>
                <w:szCs w:val="22"/>
              </w:rPr>
            </w:pPr>
            <w:r w:rsidRPr="002B300B">
              <w:rPr>
                <w:rFonts w:asciiTheme="minorHAnsi" w:hAnsiTheme="minorHAnsi"/>
                <w:color w:val="000000"/>
                <w:sz w:val="22"/>
                <w:szCs w:val="22"/>
                <w:shd w:val="clear" w:color="auto" w:fill="FFFFFF"/>
              </w:rPr>
              <w:t xml:space="preserve"> kreiptis į teismą su prašymu panaikinti Įmonei išduotą leidimą.</w:t>
            </w:r>
          </w:p>
          <w:p w:rsidR="00124BBC" w:rsidRPr="002B300B" w:rsidRDefault="00124BBC" w:rsidP="002B300B">
            <w:pPr>
              <w:ind w:left="-107" w:right="-1"/>
              <w:rPr>
                <w:rFonts w:eastAsia="Times New Roman" w:cs="Times New Roman"/>
                <w:color w:val="000000"/>
                <w:lang w:eastAsia="lt-LT"/>
              </w:rPr>
            </w:pPr>
            <w:r w:rsidRPr="002B300B">
              <w:rPr>
                <w:rFonts w:eastAsia="Times New Roman" w:cs="Times New Roman"/>
                <w:b/>
                <w:i/>
                <w:color w:val="000000"/>
                <w:u w:val="single"/>
                <w:lang w:eastAsia="lt-LT"/>
              </w:rPr>
              <w:t>Pareiga:</w:t>
            </w:r>
            <w:r w:rsidRPr="002B300B">
              <w:rPr>
                <w:rFonts w:eastAsia="Times New Roman" w:cs="Times New Roman"/>
                <w:color w:val="000000"/>
                <w:lang w:eastAsia="lt-LT"/>
              </w:rPr>
              <w:t xml:space="preserve"> </w:t>
            </w:r>
          </w:p>
          <w:p w:rsidR="00124BBC" w:rsidRPr="002B300B" w:rsidRDefault="00124BBC" w:rsidP="002B300B">
            <w:pPr>
              <w:pStyle w:val="ListParagraph"/>
              <w:framePr w:hSpace="180" w:wrap="around" w:vAnchor="text" w:hAnchor="text" w:x="-147" w:y="1"/>
              <w:numPr>
                <w:ilvl w:val="0"/>
                <w:numId w:val="16"/>
              </w:numPr>
              <w:tabs>
                <w:tab w:val="left" w:pos="198"/>
              </w:tabs>
              <w:ind w:left="34" w:right="33" w:firstLine="34"/>
              <w:suppressOverlap/>
              <w:jc w:val="both"/>
              <w:textAlignment w:val="baseline"/>
              <w:rPr>
                <w:rFonts w:asciiTheme="minorHAnsi" w:hAnsiTheme="minorHAnsi" w:cs="Arial"/>
                <w:b/>
                <w:iCs/>
                <w:color w:val="000000"/>
                <w:sz w:val="22"/>
                <w:szCs w:val="22"/>
              </w:rPr>
            </w:pPr>
            <w:r w:rsidRPr="002B300B">
              <w:rPr>
                <w:rFonts w:asciiTheme="minorHAnsi" w:hAnsiTheme="minorHAnsi" w:cs="Arial"/>
                <w:iCs/>
                <w:color w:val="000000"/>
                <w:sz w:val="22"/>
                <w:szCs w:val="22"/>
              </w:rPr>
              <w:t>Įsitraukti į procesą pagal nustatytą tvarką, aktyviai domėtis ir bendradarbiauti su investuotoju bei valdžia.</w:t>
            </w:r>
          </w:p>
        </w:tc>
      </w:tr>
      <w:tr w:rsidR="00124BBC" w:rsidRPr="002B300B" w:rsidTr="003D5BC3">
        <w:trPr>
          <w:trHeight w:val="1500"/>
          <w:jc w:val="center"/>
        </w:trPr>
        <w:tc>
          <w:tcPr>
            <w:tcW w:w="2127" w:type="dxa"/>
          </w:tcPr>
          <w:p w:rsidR="00124BBC" w:rsidRPr="002B300B" w:rsidRDefault="00124BBC" w:rsidP="002B300B">
            <w:pPr>
              <w:ind w:left="-107" w:right="33"/>
              <w:textAlignment w:val="baseline"/>
              <w:rPr>
                <w:b/>
              </w:rPr>
            </w:pPr>
            <w:r w:rsidRPr="002B300B">
              <w:rPr>
                <w:b/>
                <w:highlight w:val="white"/>
              </w:rPr>
              <w:t>PRAAD</w:t>
            </w:r>
          </w:p>
        </w:tc>
        <w:tc>
          <w:tcPr>
            <w:tcW w:w="7513" w:type="dxa"/>
            <w:gridSpan w:val="2"/>
          </w:tcPr>
          <w:p w:rsidR="00124BBC" w:rsidRPr="002B300B" w:rsidRDefault="00124BBC" w:rsidP="002B300B">
            <w:pPr>
              <w:ind w:left="-107" w:right="-1"/>
              <w:rPr>
                <w:rFonts w:eastAsia="Times New Roman" w:cs="Times New Roman"/>
                <w:b/>
                <w:i/>
                <w:color w:val="000000"/>
                <w:u w:val="single"/>
                <w:lang w:eastAsia="lt-LT"/>
              </w:rPr>
            </w:pPr>
            <w:r w:rsidRPr="002B300B">
              <w:rPr>
                <w:rFonts w:eastAsia="Times New Roman" w:cs="Times New Roman"/>
                <w:b/>
                <w:i/>
                <w:color w:val="000000"/>
                <w:u w:val="single"/>
                <w:lang w:eastAsia="lt-LT"/>
              </w:rPr>
              <w:t xml:space="preserve">Teisė: </w:t>
            </w:r>
          </w:p>
          <w:p w:rsidR="00124BBC" w:rsidRPr="002B300B" w:rsidRDefault="00124BBC" w:rsidP="002B300B">
            <w:pPr>
              <w:numPr>
                <w:ilvl w:val="0"/>
                <w:numId w:val="22"/>
              </w:numPr>
              <w:ind w:left="147" w:hanging="147"/>
              <w:contextualSpacing/>
              <w:jc w:val="both"/>
            </w:pPr>
            <w:r w:rsidRPr="002B300B">
              <w:t>Vertinti PAV programą;</w:t>
            </w:r>
          </w:p>
          <w:p w:rsidR="00124BBC" w:rsidRPr="002B300B" w:rsidRDefault="00124BBC" w:rsidP="002B300B">
            <w:pPr>
              <w:numPr>
                <w:ilvl w:val="0"/>
                <w:numId w:val="22"/>
              </w:numPr>
              <w:ind w:left="147" w:hanging="147"/>
              <w:contextualSpacing/>
              <w:jc w:val="both"/>
            </w:pPr>
            <w:r w:rsidRPr="002B300B">
              <w:t>įvertinti visuomenės nuomonę pagal jos pagrįstumą ir atsižvelgti į ją arba ne;</w:t>
            </w:r>
          </w:p>
          <w:p w:rsidR="00124BBC" w:rsidRPr="002B300B" w:rsidRDefault="00124BBC" w:rsidP="002B300B">
            <w:pPr>
              <w:numPr>
                <w:ilvl w:val="0"/>
                <w:numId w:val="22"/>
              </w:numPr>
              <w:ind w:left="147" w:hanging="147"/>
              <w:contextualSpacing/>
              <w:jc w:val="both"/>
            </w:pPr>
            <w:r w:rsidRPr="002B300B">
              <w:t xml:space="preserve">patvirtinti/atsisakyti patvirtinti PAV ataskaitą (priklausomai nuo situacijos), taigi </w:t>
            </w:r>
            <w:r w:rsidRPr="002B300B">
              <w:rPr>
                <w:i/>
              </w:rPr>
              <w:t>užkirsti kelią ūkinės veiklos plėtrai.</w:t>
            </w:r>
          </w:p>
          <w:p w:rsidR="00124BBC" w:rsidRPr="002B300B" w:rsidRDefault="00124BBC" w:rsidP="002B300B">
            <w:pPr>
              <w:ind w:left="-107" w:right="-1"/>
              <w:rPr>
                <w:rFonts w:eastAsia="Times New Roman" w:cs="Times New Roman"/>
                <w:color w:val="000000"/>
                <w:lang w:eastAsia="lt-LT"/>
              </w:rPr>
            </w:pPr>
            <w:r w:rsidRPr="002B300B">
              <w:rPr>
                <w:rFonts w:eastAsia="Times New Roman" w:cs="Times New Roman"/>
                <w:b/>
                <w:i/>
                <w:color w:val="000000"/>
                <w:u w:val="single"/>
                <w:lang w:eastAsia="lt-LT"/>
              </w:rPr>
              <w:t>Pareiga:</w:t>
            </w:r>
            <w:r w:rsidRPr="002B300B">
              <w:rPr>
                <w:rFonts w:eastAsia="Times New Roman" w:cs="Times New Roman"/>
                <w:color w:val="000000"/>
                <w:lang w:eastAsia="lt-LT"/>
              </w:rPr>
              <w:t xml:space="preserve"> </w:t>
            </w:r>
          </w:p>
          <w:p w:rsidR="00124BBC" w:rsidRPr="002B300B" w:rsidRDefault="00124BBC" w:rsidP="002B300B">
            <w:pPr>
              <w:numPr>
                <w:ilvl w:val="0"/>
                <w:numId w:val="22"/>
              </w:numPr>
              <w:ind w:left="147" w:hanging="147"/>
              <w:contextualSpacing/>
              <w:jc w:val="both"/>
            </w:pPr>
            <w:r w:rsidRPr="002B300B">
              <w:t>Atlikti PAV atranką;</w:t>
            </w:r>
          </w:p>
          <w:p w:rsidR="00124BBC" w:rsidRPr="002B300B" w:rsidRDefault="00124BBC" w:rsidP="002B300B">
            <w:pPr>
              <w:numPr>
                <w:ilvl w:val="0"/>
                <w:numId w:val="22"/>
              </w:numPr>
              <w:ind w:left="147" w:hanging="147"/>
              <w:contextualSpacing/>
              <w:jc w:val="both"/>
            </w:pPr>
            <w:r w:rsidRPr="002B300B">
              <w:t>informuoti visuomenę apie PAV ir įtraukti ją į rengimo procesą;</w:t>
            </w:r>
          </w:p>
          <w:p w:rsidR="00124BBC" w:rsidRPr="002B300B" w:rsidRDefault="00124BBC" w:rsidP="002B300B">
            <w:pPr>
              <w:numPr>
                <w:ilvl w:val="0"/>
                <w:numId w:val="22"/>
              </w:numPr>
              <w:ind w:left="147" w:hanging="147"/>
              <w:contextualSpacing/>
              <w:jc w:val="both"/>
            </w:pPr>
            <w:r w:rsidRPr="002B300B">
              <w:t xml:space="preserve">patvirtinti PAV ataskaitą (priklausomai nuo situacijos), taigi </w:t>
            </w:r>
            <w:r w:rsidRPr="002B300B">
              <w:rPr>
                <w:i/>
              </w:rPr>
              <w:t>atverti kelią ūkinės veiklos plėtrai.</w:t>
            </w:r>
          </w:p>
        </w:tc>
      </w:tr>
      <w:tr w:rsidR="00124BBC" w:rsidRPr="002B300B" w:rsidTr="003D5BC3">
        <w:trPr>
          <w:trHeight w:val="554"/>
          <w:jc w:val="center"/>
        </w:trPr>
        <w:tc>
          <w:tcPr>
            <w:tcW w:w="2127" w:type="dxa"/>
          </w:tcPr>
          <w:p w:rsidR="00124BBC" w:rsidRPr="002B300B" w:rsidRDefault="00124BBC" w:rsidP="002B300B">
            <w:pPr>
              <w:ind w:left="-107" w:hanging="6"/>
              <w:rPr>
                <w:b/>
              </w:rPr>
            </w:pPr>
            <w:r w:rsidRPr="002B300B">
              <w:rPr>
                <w:rFonts w:eastAsia="Times New Roman" w:cs="Times New Roman"/>
                <w:b/>
                <w:bCs/>
                <w:color w:val="000000"/>
                <w:shd w:val="clear" w:color="auto" w:fill="FFFFFF"/>
              </w:rPr>
              <w:t>PANEVĖŽIO RAJONO SAVIVALDYBĖ</w:t>
            </w:r>
          </w:p>
          <w:p w:rsidR="00124BBC" w:rsidRPr="002B300B" w:rsidRDefault="00124BBC" w:rsidP="002B300B">
            <w:pPr>
              <w:pStyle w:val="ListParagraph"/>
              <w:ind w:left="34" w:right="33"/>
              <w:rPr>
                <w:rFonts w:asciiTheme="minorHAnsi" w:hAnsiTheme="minorHAnsi"/>
                <w:b/>
                <w:sz w:val="22"/>
                <w:szCs w:val="22"/>
              </w:rPr>
            </w:pPr>
          </w:p>
        </w:tc>
        <w:tc>
          <w:tcPr>
            <w:tcW w:w="7513" w:type="dxa"/>
            <w:gridSpan w:val="2"/>
          </w:tcPr>
          <w:p w:rsidR="00124BBC" w:rsidRPr="002B300B" w:rsidRDefault="00124BBC" w:rsidP="002B300B">
            <w:pPr>
              <w:ind w:right="-1"/>
              <w:rPr>
                <w:rFonts w:eastAsia="Times New Roman" w:cs="Times New Roman"/>
                <w:color w:val="000000"/>
                <w:lang w:eastAsia="lt-LT"/>
              </w:rPr>
            </w:pPr>
            <w:r w:rsidRPr="002B300B">
              <w:rPr>
                <w:rFonts w:eastAsia="Times New Roman" w:cs="Times New Roman"/>
                <w:b/>
                <w:i/>
                <w:color w:val="000000"/>
                <w:u w:val="single"/>
                <w:lang w:eastAsia="lt-LT"/>
              </w:rPr>
              <w:t>Pareiga:</w:t>
            </w:r>
            <w:r w:rsidRPr="002B300B">
              <w:rPr>
                <w:rFonts w:eastAsia="Times New Roman" w:cs="Times New Roman"/>
                <w:color w:val="000000"/>
                <w:lang w:eastAsia="lt-LT"/>
              </w:rPr>
              <w:t xml:space="preserve"> </w:t>
            </w:r>
          </w:p>
          <w:p w:rsidR="00124BBC" w:rsidRPr="002B300B" w:rsidRDefault="00124BBC" w:rsidP="002B300B">
            <w:pPr>
              <w:pStyle w:val="ListParagraph"/>
              <w:numPr>
                <w:ilvl w:val="0"/>
                <w:numId w:val="16"/>
              </w:numPr>
              <w:spacing w:after="200"/>
              <w:ind w:left="312" w:right="-1" w:hanging="284"/>
              <w:jc w:val="both"/>
              <w:rPr>
                <w:rFonts w:asciiTheme="minorHAnsi" w:hAnsiTheme="minorHAnsi" w:cs="Arial"/>
                <w:b/>
                <w:i/>
                <w:iCs/>
                <w:color w:val="000000"/>
                <w:sz w:val="22"/>
                <w:szCs w:val="22"/>
                <w:u w:val="single"/>
              </w:rPr>
            </w:pPr>
            <w:r w:rsidRPr="002B300B">
              <w:rPr>
                <w:rFonts w:asciiTheme="minorHAnsi" w:hAnsiTheme="minorHAnsi" w:cs="Arial"/>
                <w:iCs/>
                <w:color w:val="000000"/>
                <w:sz w:val="22"/>
                <w:szCs w:val="22"/>
              </w:rPr>
              <w:t>Patvirtinti tokį detalųjį planą, kuris atitiktų visus įstatymų reikalavimus</w:t>
            </w:r>
          </w:p>
        </w:tc>
      </w:tr>
      <w:tr w:rsidR="00124BBC" w:rsidRPr="002B300B" w:rsidTr="002B300B">
        <w:trPr>
          <w:trHeight w:val="559"/>
          <w:jc w:val="center"/>
        </w:trPr>
        <w:tc>
          <w:tcPr>
            <w:tcW w:w="9640" w:type="dxa"/>
            <w:gridSpan w:val="3"/>
            <w:shd w:val="clear" w:color="auto" w:fill="DEEAF6" w:themeFill="accent1" w:themeFillTint="33"/>
            <w:vAlign w:val="center"/>
          </w:tcPr>
          <w:p w:rsidR="00124BBC" w:rsidRPr="002B300B" w:rsidRDefault="002B300B" w:rsidP="002B300B">
            <w:pPr>
              <w:tabs>
                <w:tab w:val="left" w:pos="1163"/>
                <w:tab w:val="left" w:pos="1207"/>
              </w:tabs>
              <w:ind w:left="-846" w:right="33" w:firstLine="255"/>
              <w:jc w:val="center"/>
            </w:pPr>
            <w:r w:rsidRPr="002B300B">
              <w:rPr>
                <w:b/>
              </w:rPr>
              <w:t>TEISĖ Į SVEIKĄ IR ŠVARIĄ APLINKĄ</w:t>
            </w:r>
          </w:p>
        </w:tc>
      </w:tr>
      <w:tr w:rsidR="00124BBC" w:rsidRPr="002B300B" w:rsidTr="003D5BC3">
        <w:trPr>
          <w:trHeight w:val="1979"/>
          <w:jc w:val="center"/>
        </w:trPr>
        <w:tc>
          <w:tcPr>
            <w:tcW w:w="2190" w:type="dxa"/>
            <w:gridSpan w:val="2"/>
          </w:tcPr>
          <w:p w:rsidR="00124BBC" w:rsidRPr="002B300B" w:rsidRDefault="00124BBC" w:rsidP="002B300B">
            <w:pPr>
              <w:pStyle w:val="ListParagraph"/>
              <w:tabs>
                <w:tab w:val="left" w:pos="318"/>
              </w:tabs>
              <w:ind w:left="-107" w:right="33"/>
              <w:textAlignment w:val="baseline"/>
              <w:rPr>
                <w:rFonts w:asciiTheme="minorHAnsi" w:hAnsiTheme="minorHAnsi" w:cs="Arial"/>
                <w:i/>
                <w:color w:val="000000"/>
                <w:sz w:val="22"/>
                <w:szCs w:val="22"/>
              </w:rPr>
            </w:pPr>
            <w:r w:rsidRPr="002B300B">
              <w:rPr>
                <w:rFonts w:asciiTheme="minorHAnsi" w:hAnsiTheme="minorHAnsi" w:cs="Arial"/>
                <w:b/>
                <w:color w:val="000000"/>
                <w:sz w:val="22"/>
                <w:szCs w:val="22"/>
                <w:shd w:val="clear" w:color="auto" w:fill="FFFFFF"/>
              </w:rPr>
              <w:t xml:space="preserve">BENDRUOMENĖ </w:t>
            </w:r>
          </w:p>
        </w:tc>
        <w:tc>
          <w:tcPr>
            <w:tcW w:w="7450" w:type="dxa"/>
          </w:tcPr>
          <w:p w:rsidR="00124BBC" w:rsidRPr="002B300B" w:rsidRDefault="00124BBC" w:rsidP="002B300B">
            <w:pPr>
              <w:pStyle w:val="ListParagraph"/>
              <w:tabs>
                <w:tab w:val="left" w:pos="538"/>
              </w:tabs>
              <w:ind w:left="-29" w:right="33"/>
              <w:textAlignment w:val="baseline"/>
              <w:rPr>
                <w:rFonts w:asciiTheme="minorHAnsi" w:hAnsiTheme="minorHAnsi" w:cs="Arial"/>
                <w:color w:val="000000"/>
                <w:sz w:val="22"/>
                <w:szCs w:val="22"/>
              </w:rPr>
            </w:pPr>
            <w:r w:rsidRPr="002B300B">
              <w:rPr>
                <w:rFonts w:asciiTheme="minorHAnsi" w:hAnsiTheme="minorHAnsi" w:cs="Arial"/>
                <w:b/>
                <w:i/>
                <w:color w:val="000000"/>
                <w:sz w:val="22"/>
                <w:szCs w:val="22"/>
                <w:u w:val="single"/>
                <w:shd w:val="clear" w:color="auto" w:fill="FFFFFF"/>
              </w:rPr>
              <w:t>Teisė:</w:t>
            </w:r>
            <w:r w:rsidRPr="002B300B">
              <w:rPr>
                <w:rFonts w:asciiTheme="minorHAnsi" w:hAnsiTheme="minorHAnsi" w:cs="Arial"/>
                <w:b/>
                <w:color w:val="000000"/>
                <w:sz w:val="22"/>
                <w:szCs w:val="22"/>
                <w:shd w:val="clear" w:color="auto" w:fill="FFFFFF"/>
              </w:rPr>
              <w:t xml:space="preserve"> </w:t>
            </w:r>
          </w:p>
          <w:p w:rsidR="00124BBC" w:rsidRPr="002B300B" w:rsidRDefault="00124BBC" w:rsidP="002B300B">
            <w:pPr>
              <w:numPr>
                <w:ilvl w:val="0"/>
                <w:numId w:val="21"/>
              </w:numPr>
              <w:tabs>
                <w:tab w:val="left" w:pos="225"/>
              </w:tabs>
              <w:ind w:left="84" w:firstLine="0"/>
              <w:contextualSpacing/>
              <w:jc w:val="both"/>
            </w:pPr>
            <w:r w:rsidRPr="002B300B">
              <w:t>Gauti bet kokią informaciją, kuria disponuoja viešasis subjektas (išskyrus atvejus, kai ši informacija yra konfidenciali);</w:t>
            </w:r>
          </w:p>
          <w:p w:rsidR="00124BBC" w:rsidRPr="002B300B" w:rsidRDefault="00124BBC" w:rsidP="002B300B">
            <w:pPr>
              <w:numPr>
                <w:ilvl w:val="0"/>
                <w:numId w:val="21"/>
              </w:numPr>
              <w:tabs>
                <w:tab w:val="left" w:pos="225"/>
              </w:tabs>
              <w:ind w:left="84" w:firstLine="0"/>
              <w:contextualSpacing/>
              <w:jc w:val="both"/>
            </w:pPr>
            <w:r w:rsidRPr="002B300B">
              <w:t>gauti informaciją apie save;</w:t>
            </w:r>
          </w:p>
          <w:p w:rsidR="00124BBC" w:rsidRPr="002B300B" w:rsidRDefault="00124BBC" w:rsidP="002B300B">
            <w:pPr>
              <w:numPr>
                <w:ilvl w:val="0"/>
                <w:numId w:val="21"/>
              </w:numPr>
              <w:tabs>
                <w:tab w:val="left" w:pos="225"/>
              </w:tabs>
              <w:ind w:left="84" w:firstLine="0"/>
              <w:contextualSpacing/>
              <w:jc w:val="both"/>
            </w:pPr>
            <w:r w:rsidRPr="002B300B">
              <w:t>gauti informaciją apie šalia vykdomą ūkinę veiklą;</w:t>
            </w:r>
          </w:p>
          <w:p w:rsidR="00124BBC" w:rsidRPr="002B300B" w:rsidRDefault="00124BBC" w:rsidP="002B300B">
            <w:pPr>
              <w:pStyle w:val="ListParagraph"/>
              <w:numPr>
                <w:ilvl w:val="0"/>
                <w:numId w:val="21"/>
              </w:numPr>
              <w:tabs>
                <w:tab w:val="left" w:pos="225"/>
                <w:tab w:val="left" w:pos="318"/>
              </w:tabs>
              <w:ind w:left="84" w:right="33" w:firstLine="0"/>
              <w:jc w:val="both"/>
              <w:rPr>
                <w:rFonts w:asciiTheme="minorHAnsi" w:hAnsiTheme="minorHAnsi" w:cs="Arial"/>
                <w:b/>
                <w:iCs/>
                <w:color w:val="000000"/>
                <w:sz w:val="22"/>
                <w:szCs w:val="22"/>
                <w:u w:val="single"/>
              </w:rPr>
            </w:pPr>
            <w:r w:rsidRPr="002B300B">
              <w:rPr>
                <w:rFonts w:asciiTheme="minorHAnsi" w:hAnsiTheme="minorHAnsi"/>
                <w:sz w:val="22"/>
                <w:szCs w:val="22"/>
              </w:rPr>
              <w:t>pateikti nuomonę ir dalyvauti susitikimuose bei svarstymuose dėl juos galimai įtakojančios ūkinės veiklos.</w:t>
            </w:r>
          </w:p>
          <w:p w:rsidR="00124BBC" w:rsidRPr="002B300B" w:rsidRDefault="00124BBC" w:rsidP="002B300B">
            <w:pPr>
              <w:tabs>
                <w:tab w:val="left" w:pos="225"/>
                <w:tab w:val="left" w:pos="318"/>
              </w:tabs>
              <w:ind w:left="84" w:right="33"/>
              <w:rPr>
                <w:rFonts w:eastAsia="Times New Roman" w:cs="Arial"/>
                <w:b/>
                <w:iCs/>
                <w:color w:val="000000"/>
                <w:u w:val="single"/>
                <w:lang w:eastAsia="lt-LT"/>
              </w:rPr>
            </w:pPr>
            <w:r w:rsidRPr="002B300B">
              <w:rPr>
                <w:rFonts w:eastAsia="Times New Roman" w:cs="Arial"/>
                <w:b/>
                <w:iCs/>
                <w:color w:val="000000"/>
                <w:u w:val="single"/>
                <w:lang w:eastAsia="lt-LT"/>
              </w:rPr>
              <w:t>Pareiga:</w:t>
            </w:r>
          </w:p>
          <w:p w:rsidR="00124BBC" w:rsidRPr="002B300B" w:rsidRDefault="00124BBC" w:rsidP="002B300B">
            <w:pPr>
              <w:pStyle w:val="ListParagraph"/>
              <w:numPr>
                <w:ilvl w:val="0"/>
                <w:numId w:val="21"/>
              </w:numPr>
              <w:tabs>
                <w:tab w:val="left" w:pos="225"/>
                <w:tab w:val="left" w:pos="254"/>
              </w:tabs>
              <w:ind w:left="84" w:right="33" w:firstLine="0"/>
              <w:jc w:val="both"/>
              <w:textAlignment w:val="baseline"/>
              <w:rPr>
                <w:rFonts w:asciiTheme="minorHAnsi" w:hAnsiTheme="minorHAnsi" w:cs="Arial"/>
                <w:iCs/>
                <w:color w:val="000000"/>
                <w:sz w:val="22"/>
                <w:szCs w:val="22"/>
              </w:rPr>
            </w:pPr>
            <w:r w:rsidRPr="002B300B">
              <w:rPr>
                <w:rFonts w:asciiTheme="minorHAnsi" w:hAnsiTheme="minorHAnsi" w:cs="Arial"/>
                <w:iCs/>
                <w:color w:val="000000"/>
                <w:sz w:val="22"/>
                <w:szCs w:val="22"/>
              </w:rPr>
              <w:t>Motyvuoti, argumentuoti ir pagrįsti savo nuomonę.</w:t>
            </w:r>
          </w:p>
          <w:p w:rsidR="00124BBC" w:rsidRPr="002B300B" w:rsidRDefault="00124BBC" w:rsidP="002B300B">
            <w:pPr>
              <w:tabs>
                <w:tab w:val="left" w:pos="254"/>
              </w:tabs>
              <w:ind w:right="33"/>
              <w:textAlignment w:val="baseline"/>
              <w:rPr>
                <w:rFonts w:eastAsia="Times New Roman" w:cs="Arial"/>
                <w:iCs/>
                <w:color w:val="000000"/>
                <w:lang w:eastAsia="lt-LT"/>
              </w:rPr>
            </w:pPr>
          </w:p>
        </w:tc>
      </w:tr>
    </w:tbl>
    <w:p w:rsidR="00124BBC" w:rsidRPr="003077A5" w:rsidRDefault="00124BBC" w:rsidP="00124BBC">
      <w:pPr>
        <w:rPr>
          <w:rFonts w:ascii="Times New Roman" w:hAnsi="Times New Roman" w:cs="Times New Roman"/>
          <w:highlight w:val="yellow"/>
        </w:rPr>
      </w:pPr>
    </w:p>
    <w:p w:rsidR="0011622B" w:rsidRPr="00F14462" w:rsidRDefault="0011622B" w:rsidP="00111535">
      <w:pPr>
        <w:spacing w:after="0"/>
        <w:rPr>
          <w:rFonts w:ascii="Times New Roman" w:eastAsia="Times New Roman" w:hAnsi="Times New Roman" w:cs="Times New Roman"/>
          <w:sz w:val="24"/>
          <w:szCs w:val="24"/>
          <w:lang w:eastAsia="lt-LT"/>
        </w:rPr>
      </w:pPr>
    </w:p>
    <w:sectPr w:rsidR="0011622B" w:rsidRPr="00F14462" w:rsidSect="00A96CFE">
      <w:headerReference w:type="default" r:id="rId15"/>
      <w:footerReference w:type="default" r:id="rId16"/>
      <w:pgSz w:w="11906" w:h="16838"/>
      <w:pgMar w:top="1134" w:right="1134"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8" w:rsidRDefault="002B7378" w:rsidP="00AE2E41">
      <w:pPr>
        <w:spacing w:after="0" w:line="240" w:lineRule="auto"/>
      </w:pPr>
      <w:r>
        <w:separator/>
      </w:r>
    </w:p>
  </w:endnote>
  <w:endnote w:type="continuationSeparator" w:id="0">
    <w:p w:rsidR="002B7378" w:rsidRDefault="002B7378" w:rsidP="00A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54725"/>
      <w:docPartObj>
        <w:docPartGallery w:val="Page Numbers (Bottom of Page)"/>
        <w:docPartUnique/>
      </w:docPartObj>
    </w:sdtPr>
    <w:sdtEndPr>
      <w:rPr>
        <w:noProof/>
      </w:rPr>
    </w:sdtEndPr>
    <w:sdtContent>
      <w:p w:rsidR="00302C2E" w:rsidRDefault="00302C2E">
        <w:pPr>
          <w:pStyle w:val="Footer"/>
          <w:jc w:val="center"/>
        </w:pPr>
        <w:r>
          <w:fldChar w:fldCharType="begin"/>
        </w:r>
        <w:r>
          <w:instrText xml:space="preserve"> PAGE   \* MERGEFORMAT </w:instrText>
        </w:r>
        <w:r>
          <w:fldChar w:fldCharType="separate"/>
        </w:r>
        <w:r w:rsidR="00540105">
          <w:rPr>
            <w:noProof/>
          </w:rPr>
          <w:t>1</w:t>
        </w:r>
        <w:r>
          <w:rPr>
            <w:noProof/>
          </w:rPr>
          <w:fldChar w:fldCharType="end"/>
        </w:r>
      </w:p>
    </w:sdtContent>
  </w:sdt>
  <w:p w:rsidR="006A4064" w:rsidRPr="00611793" w:rsidRDefault="006A4064" w:rsidP="006A406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8" w:rsidRDefault="002B7378" w:rsidP="00AE2E41">
      <w:pPr>
        <w:spacing w:after="0" w:line="240" w:lineRule="auto"/>
      </w:pPr>
      <w:r>
        <w:separator/>
      </w:r>
    </w:p>
  </w:footnote>
  <w:footnote w:type="continuationSeparator" w:id="0">
    <w:p w:rsidR="002B7378" w:rsidRDefault="002B7378" w:rsidP="00AE2E41">
      <w:pPr>
        <w:spacing w:after="0" w:line="240" w:lineRule="auto"/>
      </w:pPr>
      <w:r>
        <w:continuationSeparator/>
      </w:r>
    </w:p>
  </w:footnote>
  <w:footnote w:id="1">
    <w:p w:rsidR="00111535" w:rsidRDefault="00111535" w:rsidP="00111535">
      <w:pPr>
        <w:pStyle w:val="FootnoteText"/>
      </w:pPr>
      <w:r>
        <w:rPr>
          <w:rStyle w:val="FootnoteReference"/>
        </w:rPr>
        <w:footnoteRef/>
      </w:r>
      <w:r>
        <w:t xml:space="preserve"> </w:t>
      </w:r>
      <w:r w:rsidRPr="002405F2">
        <w:t>Panevėžio regioninės atliekų tvarkymo sistemos plėtra. Regioninio nepavojingų atliekų  sąvartyno įrengimas, PAV ataskaita</w:t>
      </w:r>
      <w:r>
        <w:t xml:space="preserve">. „Jacobs </w:t>
      </w:r>
      <w:proofErr w:type="spellStart"/>
      <w:r>
        <w:t>Gibb</w:t>
      </w:r>
      <w:proofErr w:type="spellEnd"/>
      <w:r>
        <w:t xml:space="preserve"> </w:t>
      </w:r>
      <w:proofErr w:type="spellStart"/>
      <w:r>
        <w:t>Ltd</w:t>
      </w:r>
      <w:proofErr w:type="spellEnd"/>
      <w:r>
        <w:t xml:space="preserve">”  UAB ,,Vilnius </w:t>
      </w:r>
      <w:proofErr w:type="spellStart"/>
      <w:r>
        <w:t>Consult</w:t>
      </w:r>
      <w:proofErr w:type="spellEnd"/>
      <w:r>
        <w:t xml:space="preserve">”, </w:t>
      </w:r>
      <w:r>
        <w:rPr>
          <w:lang w:val="en-US"/>
        </w:rPr>
        <w:t>2004</w:t>
      </w:r>
      <w:r>
        <w:tab/>
      </w:r>
    </w:p>
  </w:footnote>
  <w:footnote w:id="2">
    <w:p w:rsidR="00111535" w:rsidRPr="00F3576B" w:rsidRDefault="00111535" w:rsidP="00111535">
      <w:pPr>
        <w:pStyle w:val="FootnoteText"/>
        <w:rPr>
          <w:lang w:val="en-US"/>
        </w:rPr>
      </w:pPr>
      <w:r>
        <w:rPr>
          <w:rStyle w:val="FootnoteReference"/>
        </w:rPr>
        <w:footnoteRef/>
      </w:r>
      <w:r>
        <w:t xml:space="preserve"> </w:t>
      </w:r>
      <w:r w:rsidRPr="00F3576B">
        <w:t>Panevėžio regiono atliekų tvarkymo sistemos sukūrimas</w:t>
      </w:r>
      <w:r>
        <w:t xml:space="preserve">. </w:t>
      </w:r>
      <w:r w:rsidRPr="00F3576B">
        <w:t>Galimybių studijos ataskaita</w:t>
      </w:r>
      <w:r>
        <w:t xml:space="preserve">, </w:t>
      </w:r>
      <w:r>
        <w:rPr>
          <w:lang w:val="en-US"/>
        </w:rPr>
        <w:t>2005 m.</w:t>
      </w:r>
    </w:p>
  </w:footnote>
  <w:footnote w:id="3">
    <w:p w:rsidR="00DF62DD" w:rsidRPr="00A56605" w:rsidRDefault="00DF62DD" w:rsidP="00DF62DD">
      <w:pPr>
        <w:pStyle w:val="FootnoteText"/>
        <w:rPr>
          <w:sz w:val="16"/>
          <w:szCs w:val="16"/>
        </w:rPr>
      </w:pPr>
      <w:r w:rsidRPr="00A56605">
        <w:rPr>
          <w:rStyle w:val="FootnoteReference"/>
          <w:sz w:val="16"/>
          <w:szCs w:val="16"/>
        </w:rPr>
        <w:footnoteRef/>
      </w:r>
      <w:r w:rsidRPr="00A56605">
        <w:rPr>
          <w:sz w:val="16"/>
          <w:szCs w:val="16"/>
        </w:rPr>
        <w:t xml:space="preserve"> Visa informacija pasiekiama internetu: </w:t>
      </w:r>
      <w:hyperlink r:id="rId1" w:history="1">
        <w:r w:rsidRPr="00A56605">
          <w:rPr>
            <w:rStyle w:val="Hyperlink"/>
            <w:sz w:val="16"/>
            <w:szCs w:val="16"/>
          </w:rPr>
          <w:t>http://www.pratc.lt/</w:t>
        </w:r>
      </w:hyperlink>
    </w:p>
  </w:footnote>
  <w:footnote w:id="4">
    <w:p w:rsidR="00DF62DD" w:rsidRPr="00A56605" w:rsidRDefault="00DF62DD" w:rsidP="00DF62DD">
      <w:pPr>
        <w:pStyle w:val="FootnoteText"/>
        <w:rPr>
          <w:sz w:val="16"/>
          <w:szCs w:val="16"/>
        </w:rPr>
      </w:pPr>
      <w:r w:rsidRPr="00A56605">
        <w:rPr>
          <w:rStyle w:val="FootnoteReference"/>
          <w:sz w:val="16"/>
          <w:szCs w:val="16"/>
        </w:rPr>
        <w:footnoteRef/>
      </w:r>
      <w:r w:rsidRPr="00A56605">
        <w:rPr>
          <w:sz w:val="16"/>
          <w:szCs w:val="16"/>
        </w:rPr>
        <w:t xml:space="preserve"> Informacija apie įmonės darbuotojus. Prieinama per internetą: </w:t>
      </w:r>
      <w:hyperlink r:id="rId2" w:history="1">
        <w:r w:rsidRPr="00A56605">
          <w:rPr>
            <w:rStyle w:val="Hyperlink"/>
            <w:sz w:val="16"/>
            <w:szCs w:val="16"/>
          </w:rPr>
          <w:t>http://www.pratc.lt/index.php/apie-mus/item/46-informacija-apie-darbo-uzmokesti</w:t>
        </w:r>
      </w:hyperlink>
    </w:p>
  </w:footnote>
  <w:footnote w:id="5">
    <w:p w:rsidR="00DF62DD" w:rsidRPr="00A56605" w:rsidRDefault="00DF62DD" w:rsidP="00DF62DD">
      <w:pPr>
        <w:pStyle w:val="FootnoteText"/>
        <w:rPr>
          <w:sz w:val="16"/>
          <w:szCs w:val="16"/>
        </w:rPr>
      </w:pPr>
      <w:r w:rsidRPr="00A56605">
        <w:rPr>
          <w:rStyle w:val="FootnoteReference"/>
          <w:sz w:val="16"/>
          <w:szCs w:val="16"/>
        </w:rPr>
        <w:footnoteRef/>
      </w:r>
      <w:r w:rsidRPr="00A56605">
        <w:rPr>
          <w:sz w:val="16"/>
          <w:szCs w:val="16"/>
        </w:rPr>
        <w:t xml:space="preserve"> Visa informacija pasiekiama internetu: </w:t>
      </w:r>
      <w:hyperlink r:id="rId3" w:history="1">
        <w:r w:rsidRPr="00A56605">
          <w:rPr>
            <w:rStyle w:val="Hyperlink"/>
            <w:sz w:val="16"/>
            <w:szCs w:val="16"/>
          </w:rPr>
          <w:t>http://www.pratc.lt/</w:t>
        </w:r>
      </w:hyperlink>
    </w:p>
  </w:footnote>
  <w:footnote w:id="6">
    <w:p w:rsidR="00124BBC" w:rsidRDefault="00124BBC" w:rsidP="00124BBC">
      <w:pPr>
        <w:ind w:right="-1"/>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8" w:rsidRPr="000A0AD7" w:rsidRDefault="00302C2E" w:rsidP="000A0AD7">
    <w:pPr>
      <w:jc w:val="right"/>
      <w:rPr>
        <w:i/>
        <w:sz w:val="20"/>
        <w:szCs w:val="28"/>
      </w:rPr>
    </w:pPr>
    <w:r w:rsidRPr="006A4064">
      <w:rPr>
        <w:noProof/>
        <w:sz w:val="20"/>
        <w:szCs w:val="20"/>
        <w:lang w:eastAsia="lt-LT"/>
      </w:rPr>
      <w:drawing>
        <wp:anchor distT="0" distB="0" distL="114300" distR="114300" simplePos="0" relativeHeight="251659264" behindDoc="0" locked="0" layoutInCell="1" allowOverlap="1" wp14:anchorId="3B22735B" wp14:editId="33B04ACB">
          <wp:simplePos x="0" y="0"/>
          <wp:positionH relativeFrom="column">
            <wp:posOffset>0</wp:posOffset>
          </wp:positionH>
          <wp:positionV relativeFrom="page">
            <wp:posOffset>165735</wp:posOffset>
          </wp:positionV>
          <wp:extent cx="1130300" cy="4610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010"/>
                  </a:xfrm>
                  <a:prstGeom prst="rect">
                    <a:avLst/>
                  </a:prstGeom>
                </pic:spPr>
              </pic:pic>
            </a:graphicData>
          </a:graphic>
        </wp:anchor>
      </w:drawing>
    </w:r>
    <w:r w:rsidR="00C01F78" w:rsidRPr="000A0AD7">
      <w:rPr>
        <w:i/>
        <w:sz w:val="20"/>
        <w:szCs w:val="28"/>
      </w:rPr>
      <w:t>Pavojingų atliekų deginimo gamykla, Šiaulių raj. UAB „</w:t>
    </w:r>
    <w:proofErr w:type="spellStart"/>
    <w:r w:rsidR="00C01F78" w:rsidRPr="000A0AD7">
      <w:rPr>
        <w:i/>
        <w:sz w:val="20"/>
        <w:szCs w:val="28"/>
      </w:rPr>
      <w:t>Toksika</w:t>
    </w:r>
    <w:proofErr w:type="spellEnd"/>
    <w:r w:rsidR="00C01F78" w:rsidRPr="000A0AD7">
      <w:rPr>
        <w:i/>
        <w:sz w:val="20"/>
        <w:szCs w:val="28"/>
      </w:rPr>
      <w:t>“</w:t>
    </w:r>
    <w:r w:rsidR="00CD593C">
      <w:rPr>
        <w:i/>
        <w:sz w:val="20"/>
        <w:szCs w:val="28"/>
      </w:rPr>
      <w:t>. Atvejo analizė</w:t>
    </w:r>
  </w:p>
  <w:p w:rsidR="00C01F78" w:rsidRPr="000A0AD7" w:rsidRDefault="00C01F7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E49"/>
    <w:multiLevelType w:val="hybridMultilevel"/>
    <w:tmpl w:val="8EF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A6D2771"/>
    <w:multiLevelType w:val="hybridMultilevel"/>
    <w:tmpl w:val="497C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EF0851"/>
    <w:multiLevelType w:val="hybridMultilevel"/>
    <w:tmpl w:val="690426CA"/>
    <w:lvl w:ilvl="0" w:tplc="A1D86A72">
      <w:start w:val="1"/>
      <w:numFmt w:val="bullet"/>
      <w:lvlText w:val=""/>
      <w:lvlJc w:val="left"/>
      <w:pPr>
        <w:ind w:left="340" w:hanging="17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5" w15:restartNumberingAfterBreak="0">
    <w:nsid w:val="0CBE152D"/>
    <w:multiLevelType w:val="hybridMultilevel"/>
    <w:tmpl w:val="33AE2BF6"/>
    <w:lvl w:ilvl="0" w:tplc="895AD9B2">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426B"/>
    <w:multiLevelType w:val="hybridMultilevel"/>
    <w:tmpl w:val="A42EFF4A"/>
    <w:lvl w:ilvl="0" w:tplc="A0D22D6E">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C3E43"/>
    <w:multiLevelType w:val="hybridMultilevel"/>
    <w:tmpl w:val="882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192E"/>
    <w:multiLevelType w:val="hybridMultilevel"/>
    <w:tmpl w:val="CFF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6382A"/>
    <w:multiLevelType w:val="hybridMultilevel"/>
    <w:tmpl w:val="CDB29B96"/>
    <w:lvl w:ilvl="0" w:tplc="50A67ACA">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21C9"/>
    <w:multiLevelType w:val="hybridMultilevel"/>
    <w:tmpl w:val="81CCE454"/>
    <w:lvl w:ilvl="0" w:tplc="04090001">
      <w:start w:val="1"/>
      <w:numFmt w:val="bullet"/>
      <w:lvlText w:val="▪"/>
      <w:lvlJc w:val="left"/>
      <w:pPr>
        <w:ind w:left="705" w:hanging="360"/>
      </w:pPr>
      <w:rPr>
        <w:rFonts w:ascii="Times New Roman" w:hAnsi="Times New Roman"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CDB27A8"/>
    <w:multiLevelType w:val="hybridMultilevel"/>
    <w:tmpl w:val="053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28CC6344"/>
    <w:multiLevelType w:val="hybridMultilevel"/>
    <w:tmpl w:val="F4FE4510"/>
    <w:lvl w:ilvl="0" w:tplc="0C64D088">
      <w:start w:val="1"/>
      <w:numFmt w:val="bullet"/>
      <w:lvlText w:val="•"/>
      <w:lvlJc w:val="left"/>
      <w:pPr>
        <w:tabs>
          <w:tab w:val="num" w:pos="720"/>
        </w:tabs>
        <w:ind w:left="720" w:hanging="360"/>
      </w:pPr>
      <w:rPr>
        <w:rFonts w:ascii="Arial" w:hAnsi="Arial" w:hint="default"/>
      </w:rPr>
    </w:lvl>
    <w:lvl w:ilvl="1" w:tplc="733A057C" w:tentative="1">
      <w:start w:val="1"/>
      <w:numFmt w:val="bullet"/>
      <w:lvlText w:val="•"/>
      <w:lvlJc w:val="left"/>
      <w:pPr>
        <w:tabs>
          <w:tab w:val="num" w:pos="1440"/>
        </w:tabs>
        <w:ind w:left="1440" w:hanging="360"/>
      </w:pPr>
      <w:rPr>
        <w:rFonts w:ascii="Arial" w:hAnsi="Arial" w:hint="default"/>
      </w:rPr>
    </w:lvl>
    <w:lvl w:ilvl="2" w:tplc="B352D30E" w:tentative="1">
      <w:start w:val="1"/>
      <w:numFmt w:val="bullet"/>
      <w:lvlText w:val="•"/>
      <w:lvlJc w:val="left"/>
      <w:pPr>
        <w:tabs>
          <w:tab w:val="num" w:pos="2160"/>
        </w:tabs>
        <w:ind w:left="2160" w:hanging="360"/>
      </w:pPr>
      <w:rPr>
        <w:rFonts w:ascii="Arial" w:hAnsi="Arial" w:hint="default"/>
      </w:rPr>
    </w:lvl>
    <w:lvl w:ilvl="3" w:tplc="5D8C4888" w:tentative="1">
      <w:start w:val="1"/>
      <w:numFmt w:val="bullet"/>
      <w:lvlText w:val="•"/>
      <w:lvlJc w:val="left"/>
      <w:pPr>
        <w:tabs>
          <w:tab w:val="num" w:pos="2880"/>
        </w:tabs>
        <w:ind w:left="2880" w:hanging="360"/>
      </w:pPr>
      <w:rPr>
        <w:rFonts w:ascii="Arial" w:hAnsi="Arial" w:hint="default"/>
      </w:rPr>
    </w:lvl>
    <w:lvl w:ilvl="4" w:tplc="103C3A84" w:tentative="1">
      <w:start w:val="1"/>
      <w:numFmt w:val="bullet"/>
      <w:lvlText w:val="•"/>
      <w:lvlJc w:val="left"/>
      <w:pPr>
        <w:tabs>
          <w:tab w:val="num" w:pos="3600"/>
        </w:tabs>
        <w:ind w:left="3600" w:hanging="360"/>
      </w:pPr>
      <w:rPr>
        <w:rFonts w:ascii="Arial" w:hAnsi="Arial" w:hint="default"/>
      </w:rPr>
    </w:lvl>
    <w:lvl w:ilvl="5" w:tplc="3A38BE2A" w:tentative="1">
      <w:start w:val="1"/>
      <w:numFmt w:val="bullet"/>
      <w:lvlText w:val="•"/>
      <w:lvlJc w:val="left"/>
      <w:pPr>
        <w:tabs>
          <w:tab w:val="num" w:pos="4320"/>
        </w:tabs>
        <w:ind w:left="4320" w:hanging="360"/>
      </w:pPr>
      <w:rPr>
        <w:rFonts w:ascii="Arial" w:hAnsi="Arial" w:hint="default"/>
      </w:rPr>
    </w:lvl>
    <w:lvl w:ilvl="6" w:tplc="055C1B04" w:tentative="1">
      <w:start w:val="1"/>
      <w:numFmt w:val="bullet"/>
      <w:lvlText w:val="•"/>
      <w:lvlJc w:val="left"/>
      <w:pPr>
        <w:tabs>
          <w:tab w:val="num" w:pos="5040"/>
        </w:tabs>
        <w:ind w:left="5040" w:hanging="360"/>
      </w:pPr>
      <w:rPr>
        <w:rFonts w:ascii="Arial" w:hAnsi="Arial" w:hint="default"/>
      </w:rPr>
    </w:lvl>
    <w:lvl w:ilvl="7" w:tplc="C1D0C7DE" w:tentative="1">
      <w:start w:val="1"/>
      <w:numFmt w:val="bullet"/>
      <w:lvlText w:val="•"/>
      <w:lvlJc w:val="left"/>
      <w:pPr>
        <w:tabs>
          <w:tab w:val="num" w:pos="5760"/>
        </w:tabs>
        <w:ind w:left="5760" w:hanging="360"/>
      </w:pPr>
      <w:rPr>
        <w:rFonts w:ascii="Arial" w:hAnsi="Arial" w:hint="default"/>
      </w:rPr>
    </w:lvl>
    <w:lvl w:ilvl="8" w:tplc="4D1470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DDC1B1A"/>
    <w:multiLevelType w:val="hybridMultilevel"/>
    <w:tmpl w:val="8822162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C4E90"/>
    <w:multiLevelType w:val="hybridMultilevel"/>
    <w:tmpl w:val="86503546"/>
    <w:lvl w:ilvl="0" w:tplc="008E98B2">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8" w15:restartNumberingAfterBreak="0">
    <w:nsid w:val="33270CD1"/>
    <w:multiLevelType w:val="hybridMultilevel"/>
    <w:tmpl w:val="D1B6A9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B2E0C7F"/>
    <w:multiLevelType w:val="hybridMultilevel"/>
    <w:tmpl w:val="3D8450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47171A"/>
    <w:multiLevelType w:val="hybridMultilevel"/>
    <w:tmpl w:val="C8F034A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42F31602"/>
    <w:multiLevelType w:val="hybridMultilevel"/>
    <w:tmpl w:val="E36A11D0"/>
    <w:lvl w:ilvl="0" w:tplc="50A43690">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E6EBE"/>
    <w:multiLevelType w:val="hybridMultilevel"/>
    <w:tmpl w:val="59B042A8"/>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53D39"/>
    <w:multiLevelType w:val="hybridMultilevel"/>
    <w:tmpl w:val="8A80F6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6D4C78"/>
    <w:multiLevelType w:val="hybridMultilevel"/>
    <w:tmpl w:val="99C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44B76"/>
    <w:multiLevelType w:val="hybridMultilevel"/>
    <w:tmpl w:val="3FB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E367D"/>
    <w:multiLevelType w:val="hybridMultilevel"/>
    <w:tmpl w:val="5F1E76C6"/>
    <w:lvl w:ilvl="0" w:tplc="04090001">
      <w:start w:val="1"/>
      <w:numFmt w:val="bullet"/>
      <w:lvlText w:val=""/>
      <w:lvlJc w:val="left"/>
      <w:pPr>
        <w:ind w:left="678" w:hanging="36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30" w15:restartNumberingAfterBreak="0">
    <w:nsid w:val="54B31510"/>
    <w:multiLevelType w:val="hybridMultilevel"/>
    <w:tmpl w:val="59C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13C6B"/>
    <w:multiLevelType w:val="hybridMultilevel"/>
    <w:tmpl w:val="3D845090"/>
    <w:lvl w:ilvl="0" w:tplc="04090001">
      <w:start w:val="1"/>
      <w:numFmt w:val="bullet"/>
      <w:lvlText w:val="▪"/>
      <w:lvlJc w:val="left"/>
      <w:pPr>
        <w:ind w:left="749" w:hanging="36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15:restartNumberingAfterBreak="0">
    <w:nsid w:val="597E1218"/>
    <w:multiLevelType w:val="hybridMultilevel"/>
    <w:tmpl w:val="7C7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60E84"/>
    <w:multiLevelType w:val="hybridMultilevel"/>
    <w:tmpl w:val="8EF826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26325"/>
    <w:multiLevelType w:val="hybridMultilevel"/>
    <w:tmpl w:val="99CA7CE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75738"/>
    <w:multiLevelType w:val="hybridMultilevel"/>
    <w:tmpl w:val="81CCE4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15:restartNumberingAfterBreak="0">
    <w:nsid w:val="64D17AB0"/>
    <w:multiLevelType w:val="hybridMultilevel"/>
    <w:tmpl w:val="FD2E95AC"/>
    <w:lvl w:ilvl="0" w:tplc="1E003856">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E7177"/>
    <w:multiLevelType w:val="hybridMultilevel"/>
    <w:tmpl w:val="78D4D4AE"/>
    <w:lvl w:ilvl="0" w:tplc="91A05178">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D4C57"/>
    <w:multiLevelType w:val="hybridMultilevel"/>
    <w:tmpl w:val="E04AF23C"/>
    <w:lvl w:ilvl="0" w:tplc="D1566082">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90314"/>
    <w:multiLevelType w:val="hybridMultilevel"/>
    <w:tmpl w:val="6CF2D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15:restartNumberingAfterBreak="0">
    <w:nsid w:val="7AA859B5"/>
    <w:multiLevelType w:val="hybridMultilevel"/>
    <w:tmpl w:val="053E81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36"/>
  </w:num>
  <w:num w:numId="5">
    <w:abstractNumId w:val="10"/>
  </w:num>
  <w:num w:numId="6">
    <w:abstractNumId w:val="7"/>
  </w:num>
  <w:num w:numId="7">
    <w:abstractNumId w:val="15"/>
  </w:num>
  <w:num w:numId="8">
    <w:abstractNumId w:val="27"/>
  </w:num>
  <w:num w:numId="9">
    <w:abstractNumId w:val="35"/>
  </w:num>
  <w:num w:numId="10">
    <w:abstractNumId w:val="11"/>
  </w:num>
  <w:num w:numId="11">
    <w:abstractNumId w:val="43"/>
  </w:num>
  <w:num w:numId="12">
    <w:abstractNumId w:val="20"/>
  </w:num>
  <w:num w:numId="13">
    <w:abstractNumId w:val="32"/>
  </w:num>
  <w:num w:numId="14">
    <w:abstractNumId w:val="0"/>
  </w:num>
  <w:num w:numId="15">
    <w:abstractNumId w:val="34"/>
  </w:num>
  <w:num w:numId="16">
    <w:abstractNumId w:val="26"/>
  </w:num>
  <w:num w:numId="17">
    <w:abstractNumId w:val="2"/>
  </w:num>
  <w:num w:numId="18">
    <w:abstractNumId w:val="14"/>
  </w:num>
  <w:num w:numId="19">
    <w:abstractNumId w:val="1"/>
  </w:num>
  <w:num w:numId="20">
    <w:abstractNumId w:val="42"/>
  </w:num>
  <w:num w:numId="21">
    <w:abstractNumId w:val="25"/>
  </w:num>
  <w:num w:numId="22">
    <w:abstractNumId w:val="37"/>
  </w:num>
  <w:num w:numId="23">
    <w:abstractNumId w:val="18"/>
  </w:num>
  <w:num w:numId="24">
    <w:abstractNumId w:val="41"/>
  </w:num>
  <w:num w:numId="25">
    <w:abstractNumId w:val="31"/>
  </w:num>
  <w:num w:numId="26">
    <w:abstractNumId w:val="12"/>
  </w:num>
  <w:num w:numId="27">
    <w:abstractNumId w:val="19"/>
  </w:num>
  <w:num w:numId="28">
    <w:abstractNumId w:val="22"/>
  </w:num>
  <w:num w:numId="29">
    <w:abstractNumId w:val="24"/>
  </w:num>
  <w:num w:numId="30">
    <w:abstractNumId w:val="17"/>
  </w:num>
  <w:num w:numId="31">
    <w:abstractNumId w:val="29"/>
  </w:num>
  <w:num w:numId="32">
    <w:abstractNumId w:val="28"/>
  </w:num>
  <w:num w:numId="33">
    <w:abstractNumId w:val="8"/>
  </w:num>
  <w:num w:numId="34">
    <w:abstractNumId w:val="33"/>
  </w:num>
  <w:num w:numId="35">
    <w:abstractNumId w:val="30"/>
  </w:num>
  <w:num w:numId="36">
    <w:abstractNumId w:val="16"/>
  </w:num>
  <w:num w:numId="37">
    <w:abstractNumId w:val="9"/>
  </w:num>
  <w:num w:numId="38">
    <w:abstractNumId w:val="38"/>
  </w:num>
  <w:num w:numId="39">
    <w:abstractNumId w:val="6"/>
  </w:num>
  <w:num w:numId="40">
    <w:abstractNumId w:val="23"/>
  </w:num>
  <w:num w:numId="41">
    <w:abstractNumId w:val="40"/>
  </w:num>
  <w:num w:numId="42">
    <w:abstractNumId w:val="39"/>
  </w:num>
  <w:num w:numId="43">
    <w:abstractNumId w:val="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044E"/>
    <w:rsid w:val="00000B68"/>
    <w:rsid w:val="00000E03"/>
    <w:rsid w:val="00001441"/>
    <w:rsid w:val="00001842"/>
    <w:rsid w:val="00001E4D"/>
    <w:rsid w:val="00002057"/>
    <w:rsid w:val="00003518"/>
    <w:rsid w:val="0000375A"/>
    <w:rsid w:val="00003FA2"/>
    <w:rsid w:val="00004F33"/>
    <w:rsid w:val="0000622F"/>
    <w:rsid w:val="00006AAE"/>
    <w:rsid w:val="00006FFD"/>
    <w:rsid w:val="00012E80"/>
    <w:rsid w:val="00013F22"/>
    <w:rsid w:val="0001460E"/>
    <w:rsid w:val="0002003F"/>
    <w:rsid w:val="00020B5E"/>
    <w:rsid w:val="00022095"/>
    <w:rsid w:val="0002212E"/>
    <w:rsid w:val="000243BA"/>
    <w:rsid w:val="000253F2"/>
    <w:rsid w:val="000255C1"/>
    <w:rsid w:val="000267AD"/>
    <w:rsid w:val="00027C79"/>
    <w:rsid w:val="000326E7"/>
    <w:rsid w:val="000334B4"/>
    <w:rsid w:val="000338D3"/>
    <w:rsid w:val="00033AF5"/>
    <w:rsid w:val="00034E2F"/>
    <w:rsid w:val="00035329"/>
    <w:rsid w:val="00036EBD"/>
    <w:rsid w:val="0003786D"/>
    <w:rsid w:val="00040765"/>
    <w:rsid w:val="00041745"/>
    <w:rsid w:val="00041F03"/>
    <w:rsid w:val="0004202A"/>
    <w:rsid w:val="00043552"/>
    <w:rsid w:val="00043747"/>
    <w:rsid w:val="00044162"/>
    <w:rsid w:val="000444C6"/>
    <w:rsid w:val="00044A98"/>
    <w:rsid w:val="000450A0"/>
    <w:rsid w:val="0004577E"/>
    <w:rsid w:val="00046978"/>
    <w:rsid w:val="000530BC"/>
    <w:rsid w:val="00055015"/>
    <w:rsid w:val="00055ABB"/>
    <w:rsid w:val="0005734E"/>
    <w:rsid w:val="000608A5"/>
    <w:rsid w:val="0006248C"/>
    <w:rsid w:val="00064007"/>
    <w:rsid w:val="0006498C"/>
    <w:rsid w:val="00064D5D"/>
    <w:rsid w:val="00065D6E"/>
    <w:rsid w:val="000669B2"/>
    <w:rsid w:val="00071296"/>
    <w:rsid w:val="00073204"/>
    <w:rsid w:val="0007546A"/>
    <w:rsid w:val="0007579C"/>
    <w:rsid w:val="000777E5"/>
    <w:rsid w:val="00080753"/>
    <w:rsid w:val="00080A1E"/>
    <w:rsid w:val="00083E1A"/>
    <w:rsid w:val="000844A9"/>
    <w:rsid w:val="00084E47"/>
    <w:rsid w:val="0009330B"/>
    <w:rsid w:val="0009360E"/>
    <w:rsid w:val="0009390F"/>
    <w:rsid w:val="00093C2B"/>
    <w:rsid w:val="000949C6"/>
    <w:rsid w:val="000950AC"/>
    <w:rsid w:val="00095A13"/>
    <w:rsid w:val="00095B66"/>
    <w:rsid w:val="000960DD"/>
    <w:rsid w:val="000965BF"/>
    <w:rsid w:val="00096729"/>
    <w:rsid w:val="0009689C"/>
    <w:rsid w:val="000A0AD7"/>
    <w:rsid w:val="000A0EBF"/>
    <w:rsid w:val="000A1B48"/>
    <w:rsid w:val="000A1C36"/>
    <w:rsid w:val="000A324D"/>
    <w:rsid w:val="000A325F"/>
    <w:rsid w:val="000A3D3A"/>
    <w:rsid w:val="000A68BF"/>
    <w:rsid w:val="000A7F6E"/>
    <w:rsid w:val="000B0764"/>
    <w:rsid w:val="000B31C6"/>
    <w:rsid w:val="000B431C"/>
    <w:rsid w:val="000B4427"/>
    <w:rsid w:val="000B48FD"/>
    <w:rsid w:val="000B6934"/>
    <w:rsid w:val="000B6C6D"/>
    <w:rsid w:val="000B7425"/>
    <w:rsid w:val="000C65FE"/>
    <w:rsid w:val="000D00C6"/>
    <w:rsid w:val="000D0159"/>
    <w:rsid w:val="000D0481"/>
    <w:rsid w:val="000D0A56"/>
    <w:rsid w:val="000D1C7E"/>
    <w:rsid w:val="000D3007"/>
    <w:rsid w:val="000D407A"/>
    <w:rsid w:val="000D4CC5"/>
    <w:rsid w:val="000D501E"/>
    <w:rsid w:val="000D5B8C"/>
    <w:rsid w:val="000D61DA"/>
    <w:rsid w:val="000D6602"/>
    <w:rsid w:val="000D6B83"/>
    <w:rsid w:val="000D6F3B"/>
    <w:rsid w:val="000D746B"/>
    <w:rsid w:val="000D7582"/>
    <w:rsid w:val="000D7B2B"/>
    <w:rsid w:val="000E1A80"/>
    <w:rsid w:val="000E1B3B"/>
    <w:rsid w:val="000E428C"/>
    <w:rsid w:val="000E5A5C"/>
    <w:rsid w:val="000E5DD4"/>
    <w:rsid w:val="000F18FA"/>
    <w:rsid w:val="000F3A50"/>
    <w:rsid w:val="000F4539"/>
    <w:rsid w:val="000F54E8"/>
    <w:rsid w:val="000F6D2F"/>
    <w:rsid w:val="000F6F77"/>
    <w:rsid w:val="000F7EE6"/>
    <w:rsid w:val="00100590"/>
    <w:rsid w:val="001018A0"/>
    <w:rsid w:val="0010197D"/>
    <w:rsid w:val="00104828"/>
    <w:rsid w:val="0010542B"/>
    <w:rsid w:val="00111535"/>
    <w:rsid w:val="00111999"/>
    <w:rsid w:val="0011204D"/>
    <w:rsid w:val="00112896"/>
    <w:rsid w:val="00113007"/>
    <w:rsid w:val="00114283"/>
    <w:rsid w:val="0011475C"/>
    <w:rsid w:val="00114EB5"/>
    <w:rsid w:val="00115036"/>
    <w:rsid w:val="0011622B"/>
    <w:rsid w:val="00116CCA"/>
    <w:rsid w:val="00116F3A"/>
    <w:rsid w:val="00117E13"/>
    <w:rsid w:val="00121705"/>
    <w:rsid w:val="0012356D"/>
    <w:rsid w:val="00123B62"/>
    <w:rsid w:val="00124BBC"/>
    <w:rsid w:val="00125B0E"/>
    <w:rsid w:val="00125E23"/>
    <w:rsid w:val="001268C3"/>
    <w:rsid w:val="00130F71"/>
    <w:rsid w:val="00131B09"/>
    <w:rsid w:val="00131DDE"/>
    <w:rsid w:val="0013239A"/>
    <w:rsid w:val="001348B7"/>
    <w:rsid w:val="0013527B"/>
    <w:rsid w:val="0013546F"/>
    <w:rsid w:val="00135A93"/>
    <w:rsid w:val="001374EF"/>
    <w:rsid w:val="00143D8D"/>
    <w:rsid w:val="00145BC5"/>
    <w:rsid w:val="00145DFB"/>
    <w:rsid w:val="00145FE1"/>
    <w:rsid w:val="0014681F"/>
    <w:rsid w:val="00151DBE"/>
    <w:rsid w:val="0015398A"/>
    <w:rsid w:val="0015452E"/>
    <w:rsid w:val="00160777"/>
    <w:rsid w:val="00161C4A"/>
    <w:rsid w:val="001635D2"/>
    <w:rsid w:val="00163D50"/>
    <w:rsid w:val="001642AF"/>
    <w:rsid w:val="00166380"/>
    <w:rsid w:val="001710DE"/>
    <w:rsid w:val="00171467"/>
    <w:rsid w:val="00171982"/>
    <w:rsid w:val="001727F1"/>
    <w:rsid w:val="001734DA"/>
    <w:rsid w:val="00173922"/>
    <w:rsid w:val="00174047"/>
    <w:rsid w:val="00174C92"/>
    <w:rsid w:val="001778BD"/>
    <w:rsid w:val="001812F0"/>
    <w:rsid w:val="00181758"/>
    <w:rsid w:val="00181CAE"/>
    <w:rsid w:val="00182032"/>
    <w:rsid w:val="0018216F"/>
    <w:rsid w:val="00182F01"/>
    <w:rsid w:val="00182F1C"/>
    <w:rsid w:val="00185450"/>
    <w:rsid w:val="0018607A"/>
    <w:rsid w:val="0018675A"/>
    <w:rsid w:val="0019128D"/>
    <w:rsid w:val="00191F75"/>
    <w:rsid w:val="00192F0F"/>
    <w:rsid w:val="001933FF"/>
    <w:rsid w:val="00193D33"/>
    <w:rsid w:val="001945C7"/>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3A64"/>
    <w:rsid w:val="001B702B"/>
    <w:rsid w:val="001B7406"/>
    <w:rsid w:val="001B7EDD"/>
    <w:rsid w:val="001C011C"/>
    <w:rsid w:val="001C0C9A"/>
    <w:rsid w:val="001C129A"/>
    <w:rsid w:val="001C19BA"/>
    <w:rsid w:val="001C2DA3"/>
    <w:rsid w:val="001C2EBB"/>
    <w:rsid w:val="001C3B30"/>
    <w:rsid w:val="001C570F"/>
    <w:rsid w:val="001C5753"/>
    <w:rsid w:val="001C5B66"/>
    <w:rsid w:val="001C6C5D"/>
    <w:rsid w:val="001C6CBF"/>
    <w:rsid w:val="001C7611"/>
    <w:rsid w:val="001C7F5D"/>
    <w:rsid w:val="001D166E"/>
    <w:rsid w:val="001D350B"/>
    <w:rsid w:val="001D4DA8"/>
    <w:rsid w:val="001D4E92"/>
    <w:rsid w:val="001D522D"/>
    <w:rsid w:val="001D53C2"/>
    <w:rsid w:val="001D5682"/>
    <w:rsid w:val="001D7BD9"/>
    <w:rsid w:val="001D7FFC"/>
    <w:rsid w:val="001E0439"/>
    <w:rsid w:val="001E0FD3"/>
    <w:rsid w:val="001E130E"/>
    <w:rsid w:val="001E331F"/>
    <w:rsid w:val="001E5FBA"/>
    <w:rsid w:val="001F197D"/>
    <w:rsid w:val="001F3874"/>
    <w:rsid w:val="001F69D0"/>
    <w:rsid w:val="001F7F7B"/>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933"/>
    <w:rsid w:val="00222BCF"/>
    <w:rsid w:val="00222CF3"/>
    <w:rsid w:val="00222E9F"/>
    <w:rsid w:val="002236A1"/>
    <w:rsid w:val="0022529F"/>
    <w:rsid w:val="00225BD5"/>
    <w:rsid w:val="00230972"/>
    <w:rsid w:val="00231339"/>
    <w:rsid w:val="0023154B"/>
    <w:rsid w:val="00233D9D"/>
    <w:rsid w:val="00233FF7"/>
    <w:rsid w:val="00234605"/>
    <w:rsid w:val="002364F7"/>
    <w:rsid w:val="00236526"/>
    <w:rsid w:val="00243236"/>
    <w:rsid w:val="00243DF0"/>
    <w:rsid w:val="0024426F"/>
    <w:rsid w:val="00245CBB"/>
    <w:rsid w:val="002506A0"/>
    <w:rsid w:val="00251C6D"/>
    <w:rsid w:val="00253623"/>
    <w:rsid w:val="002536AE"/>
    <w:rsid w:val="00253954"/>
    <w:rsid w:val="00254BC1"/>
    <w:rsid w:val="00254C3F"/>
    <w:rsid w:val="0025515A"/>
    <w:rsid w:val="00256E53"/>
    <w:rsid w:val="00257DB0"/>
    <w:rsid w:val="002603CC"/>
    <w:rsid w:val="00260D62"/>
    <w:rsid w:val="00262BF8"/>
    <w:rsid w:val="0026398B"/>
    <w:rsid w:val="00264460"/>
    <w:rsid w:val="00265719"/>
    <w:rsid w:val="00265733"/>
    <w:rsid w:val="00265C95"/>
    <w:rsid w:val="00266661"/>
    <w:rsid w:val="002667EC"/>
    <w:rsid w:val="00270DE3"/>
    <w:rsid w:val="002722F3"/>
    <w:rsid w:val="002729FD"/>
    <w:rsid w:val="00273D35"/>
    <w:rsid w:val="00274529"/>
    <w:rsid w:val="00276DC6"/>
    <w:rsid w:val="00280FD1"/>
    <w:rsid w:val="00281CF6"/>
    <w:rsid w:val="00281D28"/>
    <w:rsid w:val="0028214B"/>
    <w:rsid w:val="002871F6"/>
    <w:rsid w:val="0029080A"/>
    <w:rsid w:val="00291B4B"/>
    <w:rsid w:val="0029205B"/>
    <w:rsid w:val="0029268F"/>
    <w:rsid w:val="002952A4"/>
    <w:rsid w:val="0029649A"/>
    <w:rsid w:val="00296DE7"/>
    <w:rsid w:val="002973DB"/>
    <w:rsid w:val="0029758E"/>
    <w:rsid w:val="002A3065"/>
    <w:rsid w:val="002A306C"/>
    <w:rsid w:val="002A3437"/>
    <w:rsid w:val="002A4DC2"/>
    <w:rsid w:val="002A519D"/>
    <w:rsid w:val="002A5336"/>
    <w:rsid w:val="002A629E"/>
    <w:rsid w:val="002A7B97"/>
    <w:rsid w:val="002B043F"/>
    <w:rsid w:val="002B2C75"/>
    <w:rsid w:val="002B2DFA"/>
    <w:rsid w:val="002B300B"/>
    <w:rsid w:val="002B3177"/>
    <w:rsid w:val="002B5DF6"/>
    <w:rsid w:val="002B61DA"/>
    <w:rsid w:val="002B7378"/>
    <w:rsid w:val="002B7883"/>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3D1F"/>
    <w:rsid w:val="002D5F69"/>
    <w:rsid w:val="002D64BF"/>
    <w:rsid w:val="002D672F"/>
    <w:rsid w:val="002D6D15"/>
    <w:rsid w:val="002D7637"/>
    <w:rsid w:val="002E13AF"/>
    <w:rsid w:val="002E18FA"/>
    <w:rsid w:val="002E199B"/>
    <w:rsid w:val="002E2749"/>
    <w:rsid w:val="002E49B8"/>
    <w:rsid w:val="002E7774"/>
    <w:rsid w:val="002F04F2"/>
    <w:rsid w:val="002F0AB2"/>
    <w:rsid w:val="002F19E8"/>
    <w:rsid w:val="002F31B7"/>
    <w:rsid w:val="002F391F"/>
    <w:rsid w:val="002F4D85"/>
    <w:rsid w:val="002F5124"/>
    <w:rsid w:val="002F6AF9"/>
    <w:rsid w:val="002F7CDA"/>
    <w:rsid w:val="00300056"/>
    <w:rsid w:val="00301BCA"/>
    <w:rsid w:val="00302C2E"/>
    <w:rsid w:val="00303F09"/>
    <w:rsid w:val="00304CBB"/>
    <w:rsid w:val="003075D1"/>
    <w:rsid w:val="00310EBD"/>
    <w:rsid w:val="0031155D"/>
    <w:rsid w:val="0031222A"/>
    <w:rsid w:val="0031228B"/>
    <w:rsid w:val="0031344E"/>
    <w:rsid w:val="00314FBD"/>
    <w:rsid w:val="00315E06"/>
    <w:rsid w:val="00316504"/>
    <w:rsid w:val="00317656"/>
    <w:rsid w:val="00317E6C"/>
    <w:rsid w:val="00321E4E"/>
    <w:rsid w:val="00321FF4"/>
    <w:rsid w:val="00322D68"/>
    <w:rsid w:val="00323C37"/>
    <w:rsid w:val="00325BF1"/>
    <w:rsid w:val="00325D07"/>
    <w:rsid w:val="003265C8"/>
    <w:rsid w:val="00331CF5"/>
    <w:rsid w:val="00333001"/>
    <w:rsid w:val="00335ABC"/>
    <w:rsid w:val="00336015"/>
    <w:rsid w:val="003360A8"/>
    <w:rsid w:val="0033656B"/>
    <w:rsid w:val="003378CA"/>
    <w:rsid w:val="00337D27"/>
    <w:rsid w:val="00341B38"/>
    <w:rsid w:val="00341EFE"/>
    <w:rsid w:val="003420F4"/>
    <w:rsid w:val="003421FC"/>
    <w:rsid w:val="00343D93"/>
    <w:rsid w:val="003440C7"/>
    <w:rsid w:val="00345116"/>
    <w:rsid w:val="00345AE4"/>
    <w:rsid w:val="003468A7"/>
    <w:rsid w:val="00350F2B"/>
    <w:rsid w:val="00351EA4"/>
    <w:rsid w:val="003527C1"/>
    <w:rsid w:val="00352EDE"/>
    <w:rsid w:val="00353264"/>
    <w:rsid w:val="00354656"/>
    <w:rsid w:val="0035474A"/>
    <w:rsid w:val="003601F5"/>
    <w:rsid w:val="00360E01"/>
    <w:rsid w:val="003611D3"/>
    <w:rsid w:val="0036129A"/>
    <w:rsid w:val="00364A55"/>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791"/>
    <w:rsid w:val="003937B4"/>
    <w:rsid w:val="00395265"/>
    <w:rsid w:val="003A0944"/>
    <w:rsid w:val="003A2673"/>
    <w:rsid w:val="003A2CF6"/>
    <w:rsid w:val="003A3284"/>
    <w:rsid w:val="003A5F29"/>
    <w:rsid w:val="003A66C4"/>
    <w:rsid w:val="003A7AA8"/>
    <w:rsid w:val="003A7B39"/>
    <w:rsid w:val="003B13FD"/>
    <w:rsid w:val="003B1703"/>
    <w:rsid w:val="003B26AD"/>
    <w:rsid w:val="003B291C"/>
    <w:rsid w:val="003B32EE"/>
    <w:rsid w:val="003B4792"/>
    <w:rsid w:val="003B47C9"/>
    <w:rsid w:val="003B524B"/>
    <w:rsid w:val="003B535F"/>
    <w:rsid w:val="003B612E"/>
    <w:rsid w:val="003B6683"/>
    <w:rsid w:val="003B76A9"/>
    <w:rsid w:val="003B7FE4"/>
    <w:rsid w:val="003C1544"/>
    <w:rsid w:val="003C160C"/>
    <w:rsid w:val="003C1850"/>
    <w:rsid w:val="003C269D"/>
    <w:rsid w:val="003C26F0"/>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74DD"/>
    <w:rsid w:val="003F0095"/>
    <w:rsid w:val="003F0AF0"/>
    <w:rsid w:val="003F0DC6"/>
    <w:rsid w:val="003F139E"/>
    <w:rsid w:val="003F19AC"/>
    <w:rsid w:val="003F19F6"/>
    <w:rsid w:val="003F1C01"/>
    <w:rsid w:val="003F24B7"/>
    <w:rsid w:val="003F2E2F"/>
    <w:rsid w:val="003F2E6B"/>
    <w:rsid w:val="003F2F8D"/>
    <w:rsid w:val="003F4C0A"/>
    <w:rsid w:val="003F6189"/>
    <w:rsid w:val="003F65A4"/>
    <w:rsid w:val="003F6C98"/>
    <w:rsid w:val="003F74BF"/>
    <w:rsid w:val="00400566"/>
    <w:rsid w:val="0040112D"/>
    <w:rsid w:val="00402706"/>
    <w:rsid w:val="00403D32"/>
    <w:rsid w:val="00404715"/>
    <w:rsid w:val="00404B06"/>
    <w:rsid w:val="00407A73"/>
    <w:rsid w:val="004102C0"/>
    <w:rsid w:val="004107E6"/>
    <w:rsid w:val="00410DAD"/>
    <w:rsid w:val="004122DD"/>
    <w:rsid w:val="0041341F"/>
    <w:rsid w:val="0041437E"/>
    <w:rsid w:val="00416A0E"/>
    <w:rsid w:val="00416D26"/>
    <w:rsid w:val="004174B8"/>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31A"/>
    <w:rsid w:val="00430ABB"/>
    <w:rsid w:val="00431A0B"/>
    <w:rsid w:val="00433345"/>
    <w:rsid w:val="004343A5"/>
    <w:rsid w:val="00434E05"/>
    <w:rsid w:val="00436216"/>
    <w:rsid w:val="0043733D"/>
    <w:rsid w:val="004413CD"/>
    <w:rsid w:val="0044176B"/>
    <w:rsid w:val="00441F73"/>
    <w:rsid w:val="00442911"/>
    <w:rsid w:val="00442B65"/>
    <w:rsid w:val="00450EE5"/>
    <w:rsid w:val="0045131D"/>
    <w:rsid w:val="004551FD"/>
    <w:rsid w:val="00455B74"/>
    <w:rsid w:val="00455C50"/>
    <w:rsid w:val="00456B17"/>
    <w:rsid w:val="00456C0D"/>
    <w:rsid w:val="004579D6"/>
    <w:rsid w:val="00457B7D"/>
    <w:rsid w:val="004602E7"/>
    <w:rsid w:val="00460790"/>
    <w:rsid w:val="00460B71"/>
    <w:rsid w:val="00462C61"/>
    <w:rsid w:val="0046316F"/>
    <w:rsid w:val="00463543"/>
    <w:rsid w:val="00464807"/>
    <w:rsid w:val="00464F31"/>
    <w:rsid w:val="004668C8"/>
    <w:rsid w:val="00466AA0"/>
    <w:rsid w:val="00467640"/>
    <w:rsid w:val="00467B6D"/>
    <w:rsid w:val="00467E0F"/>
    <w:rsid w:val="00470637"/>
    <w:rsid w:val="0047075D"/>
    <w:rsid w:val="00472CF2"/>
    <w:rsid w:val="00473305"/>
    <w:rsid w:val="00474849"/>
    <w:rsid w:val="004748F6"/>
    <w:rsid w:val="00481253"/>
    <w:rsid w:val="00481C4D"/>
    <w:rsid w:val="00484046"/>
    <w:rsid w:val="0048579D"/>
    <w:rsid w:val="0048621F"/>
    <w:rsid w:val="004906AE"/>
    <w:rsid w:val="00490E7E"/>
    <w:rsid w:val="00491739"/>
    <w:rsid w:val="00492BD8"/>
    <w:rsid w:val="0049301C"/>
    <w:rsid w:val="004933B3"/>
    <w:rsid w:val="00493470"/>
    <w:rsid w:val="00493557"/>
    <w:rsid w:val="00493615"/>
    <w:rsid w:val="004938BC"/>
    <w:rsid w:val="00493E3A"/>
    <w:rsid w:val="00495276"/>
    <w:rsid w:val="004957F5"/>
    <w:rsid w:val="00495E4C"/>
    <w:rsid w:val="00496069"/>
    <w:rsid w:val="00496888"/>
    <w:rsid w:val="00496EC9"/>
    <w:rsid w:val="00496F91"/>
    <w:rsid w:val="004A0117"/>
    <w:rsid w:val="004A076C"/>
    <w:rsid w:val="004A09B1"/>
    <w:rsid w:val="004A22F8"/>
    <w:rsid w:val="004A26CE"/>
    <w:rsid w:val="004A3462"/>
    <w:rsid w:val="004A4501"/>
    <w:rsid w:val="004A4587"/>
    <w:rsid w:val="004A5575"/>
    <w:rsid w:val="004A557D"/>
    <w:rsid w:val="004A6E6E"/>
    <w:rsid w:val="004A70FF"/>
    <w:rsid w:val="004B0645"/>
    <w:rsid w:val="004B288A"/>
    <w:rsid w:val="004B2959"/>
    <w:rsid w:val="004B3577"/>
    <w:rsid w:val="004B6309"/>
    <w:rsid w:val="004B7493"/>
    <w:rsid w:val="004C1BF3"/>
    <w:rsid w:val="004C1CE6"/>
    <w:rsid w:val="004C1D0F"/>
    <w:rsid w:val="004C29B3"/>
    <w:rsid w:val="004C6CEB"/>
    <w:rsid w:val="004C6D8D"/>
    <w:rsid w:val="004C70F6"/>
    <w:rsid w:val="004D036A"/>
    <w:rsid w:val="004D1763"/>
    <w:rsid w:val="004D23DE"/>
    <w:rsid w:val="004D37BD"/>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8"/>
    <w:rsid w:val="004F04EA"/>
    <w:rsid w:val="004F1397"/>
    <w:rsid w:val="004F15CE"/>
    <w:rsid w:val="004F254C"/>
    <w:rsid w:val="004F3296"/>
    <w:rsid w:val="004F3B06"/>
    <w:rsid w:val="004F4253"/>
    <w:rsid w:val="004F498B"/>
    <w:rsid w:val="004F6DDA"/>
    <w:rsid w:val="005000C4"/>
    <w:rsid w:val="0050189F"/>
    <w:rsid w:val="00502D67"/>
    <w:rsid w:val="00503CF3"/>
    <w:rsid w:val="0050411D"/>
    <w:rsid w:val="00504818"/>
    <w:rsid w:val="005065ED"/>
    <w:rsid w:val="00521D4C"/>
    <w:rsid w:val="00521E2B"/>
    <w:rsid w:val="00523B85"/>
    <w:rsid w:val="005252C1"/>
    <w:rsid w:val="00526495"/>
    <w:rsid w:val="0053030E"/>
    <w:rsid w:val="005319C6"/>
    <w:rsid w:val="005319F7"/>
    <w:rsid w:val="00532A29"/>
    <w:rsid w:val="005339CC"/>
    <w:rsid w:val="00533A7F"/>
    <w:rsid w:val="00534B70"/>
    <w:rsid w:val="00535FFF"/>
    <w:rsid w:val="00536292"/>
    <w:rsid w:val="00536665"/>
    <w:rsid w:val="00536C60"/>
    <w:rsid w:val="00537EC5"/>
    <w:rsid w:val="00540105"/>
    <w:rsid w:val="00541A16"/>
    <w:rsid w:val="00541B3E"/>
    <w:rsid w:val="00542283"/>
    <w:rsid w:val="00542C20"/>
    <w:rsid w:val="005440A5"/>
    <w:rsid w:val="005449F2"/>
    <w:rsid w:val="005469AB"/>
    <w:rsid w:val="00547C26"/>
    <w:rsid w:val="00547D8B"/>
    <w:rsid w:val="005503B1"/>
    <w:rsid w:val="00550D36"/>
    <w:rsid w:val="0055357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462D"/>
    <w:rsid w:val="00565587"/>
    <w:rsid w:val="00566F18"/>
    <w:rsid w:val="00572986"/>
    <w:rsid w:val="00572D59"/>
    <w:rsid w:val="005749BE"/>
    <w:rsid w:val="00574AC4"/>
    <w:rsid w:val="00575D5C"/>
    <w:rsid w:val="00576587"/>
    <w:rsid w:val="0058087E"/>
    <w:rsid w:val="0058122C"/>
    <w:rsid w:val="005813CA"/>
    <w:rsid w:val="005823CC"/>
    <w:rsid w:val="005824CD"/>
    <w:rsid w:val="0058502F"/>
    <w:rsid w:val="005850F1"/>
    <w:rsid w:val="005902B2"/>
    <w:rsid w:val="0059033B"/>
    <w:rsid w:val="005906D1"/>
    <w:rsid w:val="0059146F"/>
    <w:rsid w:val="00591D86"/>
    <w:rsid w:val="00592BE7"/>
    <w:rsid w:val="00593B8E"/>
    <w:rsid w:val="00593D87"/>
    <w:rsid w:val="005949F6"/>
    <w:rsid w:val="00595AF9"/>
    <w:rsid w:val="00596CA3"/>
    <w:rsid w:val="005975EC"/>
    <w:rsid w:val="005A109B"/>
    <w:rsid w:val="005A1701"/>
    <w:rsid w:val="005A1EBC"/>
    <w:rsid w:val="005A57C9"/>
    <w:rsid w:val="005A5857"/>
    <w:rsid w:val="005A6877"/>
    <w:rsid w:val="005A7ACF"/>
    <w:rsid w:val="005B023D"/>
    <w:rsid w:val="005B29FB"/>
    <w:rsid w:val="005B2B0C"/>
    <w:rsid w:val="005B387C"/>
    <w:rsid w:val="005B5466"/>
    <w:rsid w:val="005B5E2B"/>
    <w:rsid w:val="005C2ED0"/>
    <w:rsid w:val="005C4627"/>
    <w:rsid w:val="005C491C"/>
    <w:rsid w:val="005C57B0"/>
    <w:rsid w:val="005C6910"/>
    <w:rsid w:val="005C7644"/>
    <w:rsid w:val="005D1EFB"/>
    <w:rsid w:val="005D2167"/>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19C"/>
    <w:rsid w:val="005F7709"/>
    <w:rsid w:val="005F7942"/>
    <w:rsid w:val="006019B1"/>
    <w:rsid w:val="006033E4"/>
    <w:rsid w:val="00603FCD"/>
    <w:rsid w:val="0060417E"/>
    <w:rsid w:val="00605564"/>
    <w:rsid w:val="00605EBC"/>
    <w:rsid w:val="00606C7C"/>
    <w:rsid w:val="006071C6"/>
    <w:rsid w:val="006107CC"/>
    <w:rsid w:val="00611793"/>
    <w:rsid w:val="006118A4"/>
    <w:rsid w:val="00611F4D"/>
    <w:rsid w:val="00612CAE"/>
    <w:rsid w:val="006142F9"/>
    <w:rsid w:val="006144B7"/>
    <w:rsid w:val="0061565F"/>
    <w:rsid w:val="00616364"/>
    <w:rsid w:val="00620C9E"/>
    <w:rsid w:val="00620F3B"/>
    <w:rsid w:val="006210A3"/>
    <w:rsid w:val="006210DE"/>
    <w:rsid w:val="006212A7"/>
    <w:rsid w:val="00621469"/>
    <w:rsid w:val="006215F7"/>
    <w:rsid w:val="0062241A"/>
    <w:rsid w:val="00625370"/>
    <w:rsid w:val="006266BA"/>
    <w:rsid w:val="00626B28"/>
    <w:rsid w:val="006303FC"/>
    <w:rsid w:val="00630649"/>
    <w:rsid w:val="0063067D"/>
    <w:rsid w:val="00630D0B"/>
    <w:rsid w:val="00630E0A"/>
    <w:rsid w:val="00631E1E"/>
    <w:rsid w:val="0063287F"/>
    <w:rsid w:val="00632AFB"/>
    <w:rsid w:val="00633A7B"/>
    <w:rsid w:val="0063444B"/>
    <w:rsid w:val="00634A32"/>
    <w:rsid w:val="006358E2"/>
    <w:rsid w:val="00637B96"/>
    <w:rsid w:val="00640657"/>
    <w:rsid w:val="00641488"/>
    <w:rsid w:val="00644F9C"/>
    <w:rsid w:val="0064611C"/>
    <w:rsid w:val="00646546"/>
    <w:rsid w:val="0065309B"/>
    <w:rsid w:val="006532C1"/>
    <w:rsid w:val="006541B8"/>
    <w:rsid w:val="006551A9"/>
    <w:rsid w:val="0065531D"/>
    <w:rsid w:val="00655BFF"/>
    <w:rsid w:val="00657252"/>
    <w:rsid w:val="00657485"/>
    <w:rsid w:val="006577DE"/>
    <w:rsid w:val="00657BFE"/>
    <w:rsid w:val="0066136D"/>
    <w:rsid w:val="0066182D"/>
    <w:rsid w:val="00662030"/>
    <w:rsid w:val="006659AD"/>
    <w:rsid w:val="00665EF9"/>
    <w:rsid w:val="0066730A"/>
    <w:rsid w:val="006673DC"/>
    <w:rsid w:val="00667806"/>
    <w:rsid w:val="00667C55"/>
    <w:rsid w:val="00671E2C"/>
    <w:rsid w:val="0067202B"/>
    <w:rsid w:val="0067213D"/>
    <w:rsid w:val="0067356F"/>
    <w:rsid w:val="00677E9C"/>
    <w:rsid w:val="00681F97"/>
    <w:rsid w:val="00682240"/>
    <w:rsid w:val="00682578"/>
    <w:rsid w:val="00682F08"/>
    <w:rsid w:val="006832A3"/>
    <w:rsid w:val="006849E8"/>
    <w:rsid w:val="00684DA1"/>
    <w:rsid w:val="00687E21"/>
    <w:rsid w:val="00691268"/>
    <w:rsid w:val="006926CA"/>
    <w:rsid w:val="006934B4"/>
    <w:rsid w:val="006939D3"/>
    <w:rsid w:val="006953B1"/>
    <w:rsid w:val="00695F78"/>
    <w:rsid w:val="006A09DF"/>
    <w:rsid w:val="006A1D9A"/>
    <w:rsid w:val="006A3080"/>
    <w:rsid w:val="006A4064"/>
    <w:rsid w:val="006A4441"/>
    <w:rsid w:val="006A453D"/>
    <w:rsid w:val="006A458E"/>
    <w:rsid w:val="006A4642"/>
    <w:rsid w:val="006A795A"/>
    <w:rsid w:val="006B0E43"/>
    <w:rsid w:val="006B1001"/>
    <w:rsid w:val="006B23C6"/>
    <w:rsid w:val="006B3903"/>
    <w:rsid w:val="006B51A4"/>
    <w:rsid w:val="006B52A9"/>
    <w:rsid w:val="006B57D2"/>
    <w:rsid w:val="006B6F21"/>
    <w:rsid w:val="006B76A0"/>
    <w:rsid w:val="006C02E1"/>
    <w:rsid w:val="006C0B9E"/>
    <w:rsid w:val="006C2FA7"/>
    <w:rsid w:val="006C35E9"/>
    <w:rsid w:val="006C3E05"/>
    <w:rsid w:val="006C431B"/>
    <w:rsid w:val="006C54A2"/>
    <w:rsid w:val="006C551E"/>
    <w:rsid w:val="006C577E"/>
    <w:rsid w:val="006C5B12"/>
    <w:rsid w:val="006C62EB"/>
    <w:rsid w:val="006C6BB4"/>
    <w:rsid w:val="006C7386"/>
    <w:rsid w:val="006D0BEC"/>
    <w:rsid w:val="006D0C4A"/>
    <w:rsid w:val="006D150A"/>
    <w:rsid w:val="006D2017"/>
    <w:rsid w:val="006D2290"/>
    <w:rsid w:val="006D33B0"/>
    <w:rsid w:val="006D36C1"/>
    <w:rsid w:val="006D3ABE"/>
    <w:rsid w:val="006D4897"/>
    <w:rsid w:val="006D5D32"/>
    <w:rsid w:val="006D6313"/>
    <w:rsid w:val="006D6324"/>
    <w:rsid w:val="006D6FA8"/>
    <w:rsid w:val="006D756A"/>
    <w:rsid w:val="006D7ADD"/>
    <w:rsid w:val="006E2132"/>
    <w:rsid w:val="006E26CA"/>
    <w:rsid w:val="006E39C5"/>
    <w:rsid w:val="006E3AF7"/>
    <w:rsid w:val="006E4189"/>
    <w:rsid w:val="006E4977"/>
    <w:rsid w:val="006E67ED"/>
    <w:rsid w:val="006E6A39"/>
    <w:rsid w:val="006F19D8"/>
    <w:rsid w:val="006F6238"/>
    <w:rsid w:val="006F7D5C"/>
    <w:rsid w:val="00700847"/>
    <w:rsid w:val="00700F5C"/>
    <w:rsid w:val="0070110C"/>
    <w:rsid w:val="00701F73"/>
    <w:rsid w:val="00702613"/>
    <w:rsid w:val="00703082"/>
    <w:rsid w:val="0070330A"/>
    <w:rsid w:val="0071185C"/>
    <w:rsid w:val="0071185F"/>
    <w:rsid w:val="007123A5"/>
    <w:rsid w:val="007125A6"/>
    <w:rsid w:val="00715CB8"/>
    <w:rsid w:val="00716B05"/>
    <w:rsid w:val="00716CC7"/>
    <w:rsid w:val="0071772C"/>
    <w:rsid w:val="00717BA1"/>
    <w:rsid w:val="00717F88"/>
    <w:rsid w:val="007203A1"/>
    <w:rsid w:val="00720AB2"/>
    <w:rsid w:val="00720C45"/>
    <w:rsid w:val="00720FC8"/>
    <w:rsid w:val="00721A3F"/>
    <w:rsid w:val="007308C1"/>
    <w:rsid w:val="0073175E"/>
    <w:rsid w:val="00732D7A"/>
    <w:rsid w:val="00733450"/>
    <w:rsid w:val="00733A1D"/>
    <w:rsid w:val="007341D0"/>
    <w:rsid w:val="00735D9C"/>
    <w:rsid w:val="00736B88"/>
    <w:rsid w:val="00736F45"/>
    <w:rsid w:val="00741D55"/>
    <w:rsid w:val="00741FD7"/>
    <w:rsid w:val="00744071"/>
    <w:rsid w:val="00745128"/>
    <w:rsid w:val="0074590E"/>
    <w:rsid w:val="00745D14"/>
    <w:rsid w:val="007463AB"/>
    <w:rsid w:val="00747A11"/>
    <w:rsid w:val="00750E27"/>
    <w:rsid w:val="00751C11"/>
    <w:rsid w:val="007523AE"/>
    <w:rsid w:val="007528DB"/>
    <w:rsid w:val="00753EBE"/>
    <w:rsid w:val="0075467B"/>
    <w:rsid w:val="00755188"/>
    <w:rsid w:val="00756152"/>
    <w:rsid w:val="007611D9"/>
    <w:rsid w:val="007613B8"/>
    <w:rsid w:val="007616DC"/>
    <w:rsid w:val="00761B8D"/>
    <w:rsid w:val="00761EB5"/>
    <w:rsid w:val="007631AA"/>
    <w:rsid w:val="00764720"/>
    <w:rsid w:val="00766677"/>
    <w:rsid w:val="0077029D"/>
    <w:rsid w:val="00771EC6"/>
    <w:rsid w:val="00772DB7"/>
    <w:rsid w:val="00777722"/>
    <w:rsid w:val="00780398"/>
    <w:rsid w:val="00781CE9"/>
    <w:rsid w:val="007832D5"/>
    <w:rsid w:val="0078353A"/>
    <w:rsid w:val="00783FF4"/>
    <w:rsid w:val="007853EE"/>
    <w:rsid w:val="00786028"/>
    <w:rsid w:val="007876B1"/>
    <w:rsid w:val="00791244"/>
    <w:rsid w:val="007920A0"/>
    <w:rsid w:val="007932CB"/>
    <w:rsid w:val="00794864"/>
    <w:rsid w:val="00796FE4"/>
    <w:rsid w:val="007A00E0"/>
    <w:rsid w:val="007A0FA1"/>
    <w:rsid w:val="007A2F3F"/>
    <w:rsid w:val="007A396F"/>
    <w:rsid w:val="007A45D2"/>
    <w:rsid w:val="007A4A56"/>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251"/>
    <w:rsid w:val="007D1D45"/>
    <w:rsid w:val="007D3003"/>
    <w:rsid w:val="007D3BCA"/>
    <w:rsid w:val="007D3CEE"/>
    <w:rsid w:val="007D42D5"/>
    <w:rsid w:val="007D4F29"/>
    <w:rsid w:val="007D4F75"/>
    <w:rsid w:val="007D5083"/>
    <w:rsid w:val="007D5DF7"/>
    <w:rsid w:val="007D5FC9"/>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187"/>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2EC6"/>
    <w:rsid w:val="008230E7"/>
    <w:rsid w:val="00824178"/>
    <w:rsid w:val="00824247"/>
    <w:rsid w:val="008265D4"/>
    <w:rsid w:val="00826981"/>
    <w:rsid w:val="00826B26"/>
    <w:rsid w:val="00827640"/>
    <w:rsid w:val="00830CA6"/>
    <w:rsid w:val="00831453"/>
    <w:rsid w:val="00831A32"/>
    <w:rsid w:val="0083200D"/>
    <w:rsid w:val="00833C17"/>
    <w:rsid w:val="008353B4"/>
    <w:rsid w:val="0083707B"/>
    <w:rsid w:val="0084039A"/>
    <w:rsid w:val="00840B82"/>
    <w:rsid w:val="00840D4A"/>
    <w:rsid w:val="00840FAB"/>
    <w:rsid w:val="00841756"/>
    <w:rsid w:val="0084176B"/>
    <w:rsid w:val="00841876"/>
    <w:rsid w:val="00845E62"/>
    <w:rsid w:val="00851A25"/>
    <w:rsid w:val="00851C95"/>
    <w:rsid w:val="00852147"/>
    <w:rsid w:val="0085238A"/>
    <w:rsid w:val="008534FF"/>
    <w:rsid w:val="00853DB8"/>
    <w:rsid w:val="00855493"/>
    <w:rsid w:val="00861356"/>
    <w:rsid w:val="00862013"/>
    <w:rsid w:val="0086220F"/>
    <w:rsid w:val="008624D0"/>
    <w:rsid w:val="0086430A"/>
    <w:rsid w:val="00865976"/>
    <w:rsid w:val="0086617F"/>
    <w:rsid w:val="00866195"/>
    <w:rsid w:val="0086640F"/>
    <w:rsid w:val="00867542"/>
    <w:rsid w:val="0087194D"/>
    <w:rsid w:val="00871DBF"/>
    <w:rsid w:val="00872403"/>
    <w:rsid w:val="00872948"/>
    <w:rsid w:val="008737AC"/>
    <w:rsid w:val="00873DF1"/>
    <w:rsid w:val="008754D5"/>
    <w:rsid w:val="008803ED"/>
    <w:rsid w:val="00882AB6"/>
    <w:rsid w:val="008840C2"/>
    <w:rsid w:val="00891074"/>
    <w:rsid w:val="008928DD"/>
    <w:rsid w:val="008933CF"/>
    <w:rsid w:val="00893C81"/>
    <w:rsid w:val="008945BB"/>
    <w:rsid w:val="00894FB2"/>
    <w:rsid w:val="008964D6"/>
    <w:rsid w:val="008A103C"/>
    <w:rsid w:val="008A1792"/>
    <w:rsid w:val="008A25AC"/>
    <w:rsid w:val="008A486B"/>
    <w:rsid w:val="008A4C2A"/>
    <w:rsid w:val="008A68E6"/>
    <w:rsid w:val="008A72DC"/>
    <w:rsid w:val="008B1B8C"/>
    <w:rsid w:val="008B36FD"/>
    <w:rsid w:val="008B3BEE"/>
    <w:rsid w:val="008B437A"/>
    <w:rsid w:val="008B56E9"/>
    <w:rsid w:val="008B5DDF"/>
    <w:rsid w:val="008B6193"/>
    <w:rsid w:val="008C0232"/>
    <w:rsid w:val="008C05EC"/>
    <w:rsid w:val="008C27FC"/>
    <w:rsid w:val="008C2B7E"/>
    <w:rsid w:val="008C3226"/>
    <w:rsid w:val="008C3841"/>
    <w:rsid w:val="008C3ACC"/>
    <w:rsid w:val="008C47DD"/>
    <w:rsid w:val="008C5B77"/>
    <w:rsid w:val="008C6264"/>
    <w:rsid w:val="008C656C"/>
    <w:rsid w:val="008C752F"/>
    <w:rsid w:val="008C7D09"/>
    <w:rsid w:val="008D02E0"/>
    <w:rsid w:val="008D0552"/>
    <w:rsid w:val="008D1287"/>
    <w:rsid w:val="008D1377"/>
    <w:rsid w:val="008D2F69"/>
    <w:rsid w:val="008D2FDD"/>
    <w:rsid w:val="008D7477"/>
    <w:rsid w:val="008D78E1"/>
    <w:rsid w:val="008E0C59"/>
    <w:rsid w:val="008E192E"/>
    <w:rsid w:val="008E25E9"/>
    <w:rsid w:val="008E2E54"/>
    <w:rsid w:val="008E31E7"/>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E74"/>
    <w:rsid w:val="008F5A5C"/>
    <w:rsid w:val="008F5E70"/>
    <w:rsid w:val="008F6771"/>
    <w:rsid w:val="008F762C"/>
    <w:rsid w:val="008F7ADA"/>
    <w:rsid w:val="00900A23"/>
    <w:rsid w:val="00901D25"/>
    <w:rsid w:val="00904170"/>
    <w:rsid w:val="009062B7"/>
    <w:rsid w:val="009077C3"/>
    <w:rsid w:val="00910BCC"/>
    <w:rsid w:val="009118AD"/>
    <w:rsid w:val="00911927"/>
    <w:rsid w:val="00911A46"/>
    <w:rsid w:val="00911F19"/>
    <w:rsid w:val="009138ED"/>
    <w:rsid w:val="009147FC"/>
    <w:rsid w:val="00914DFB"/>
    <w:rsid w:val="009153E5"/>
    <w:rsid w:val="009154B4"/>
    <w:rsid w:val="00916F50"/>
    <w:rsid w:val="00917215"/>
    <w:rsid w:val="00920C0B"/>
    <w:rsid w:val="00920C8A"/>
    <w:rsid w:val="0092298A"/>
    <w:rsid w:val="009247F7"/>
    <w:rsid w:val="00926427"/>
    <w:rsid w:val="00926E0C"/>
    <w:rsid w:val="00927060"/>
    <w:rsid w:val="00930CA4"/>
    <w:rsid w:val="00932ED9"/>
    <w:rsid w:val="00933352"/>
    <w:rsid w:val="00933A5E"/>
    <w:rsid w:val="00933FAC"/>
    <w:rsid w:val="00934DAA"/>
    <w:rsid w:val="00935CBC"/>
    <w:rsid w:val="009360F0"/>
    <w:rsid w:val="00936AD4"/>
    <w:rsid w:val="00936DEF"/>
    <w:rsid w:val="00941844"/>
    <w:rsid w:val="00943819"/>
    <w:rsid w:val="0094395A"/>
    <w:rsid w:val="00943AF3"/>
    <w:rsid w:val="00944CE0"/>
    <w:rsid w:val="0094706E"/>
    <w:rsid w:val="00950380"/>
    <w:rsid w:val="00951406"/>
    <w:rsid w:val="00951A4E"/>
    <w:rsid w:val="00953F2F"/>
    <w:rsid w:val="00954540"/>
    <w:rsid w:val="00955B2A"/>
    <w:rsid w:val="00960E56"/>
    <w:rsid w:val="009611CD"/>
    <w:rsid w:val="00962CBF"/>
    <w:rsid w:val="0096356D"/>
    <w:rsid w:val="00963A53"/>
    <w:rsid w:val="00963F22"/>
    <w:rsid w:val="00965DE6"/>
    <w:rsid w:val="00966D76"/>
    <w:rsid w:val="00967DEA"/>
    <w:rsid w:val="00970F65"/>
    <w:rsid w:val="00972959"/>
    <w:rsid w:val="00972E65"/>
    <w:rsid w:val="009736C3"/>
    <w:rsid w:val="00973FC4"/>
    <w:rsid w:val="009745F7"/>
    <w:rsid w:val="0097469E"/>
    <w:rsid w:val="00974A05"/>
    <w:rsid w:val="0097579E"/>
    <w:rsid w:val="00976950"/>
    <w:rsid w:val="009774E5"/>
    <w:rsid w:val="009777F1"/>
    <w:rsid w:val="009779EF"/>
    <w:rsid w:val="00977A39"/>
    <w:rsid w:val="00977B4A"/>
    <w:rsid w:val="009810F8"/>
    <w:rsid w:val="009851AD"/>
    <w:rsid w:val="0098552A"/>
    <w:rsid w:val="009920D6"/>
    <w:rsid w:val="0099348A"/>
    <w:rsid w:val="00993CC7"/>
    <w:rsid w:val="0099424B"/>
    <w:rsid w:val="00995211"/>
    <w:rsid w:val="0099655C"/>
    <w:rsid w:val="00997235"/>
    <w:rsid w:val="009973BE"/>
    <w:rsid w:val="009974F7"/>
    <w:rsid w:val="009A0B81"/>
    <w:rsid w:val="009A0BDB"/>
    <w:rsid w:val="009A4785"/>
    <w:rsid w:val="009A52B3"/>
    <w:rsid w:val="009A622C"/>
    <w:rsid w:val="009A671F"/>
    <w:rsid w:val="009B5EA4"/>
    <w:rsid w:val="009B6E3A"/>
    <w:rsid w:val="009C1A13"/>
    <w:rsid w:val="009C2508"/>
    <w:rsid w:val="009C3213"/>
    <w:rsid w:val="009C38A4"/>
    <w:rsid w:val="009C397D"/>
    <w:rsid w:val="009C4D08"/>
    <w:rsid w:val="009C507F"/>
    <w:rsid w:val="009C78D5"/>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717"/>
    <w:rsid w:val="009E7BFF"/>
    <w:rsid w:val="009F01CD"/>
    <w:rsid w:val="009F1D6D"/>
    <w:rsid w:val="009F29F1"/>
    <w:rsid w:val="009F4650"/>
    <w:rsid w:val="009F59A2"/>
    <w:rsid w:val="009F5B45"/>
    <w:rsid w:val="009F67E1"/>
    <w:rsid w:val="00A00318"/>
    <w:rsid w:val="00A01265"/>
    <w:rsid w:val="00A0215B"/>
    <w:rsid w:val="00A02E3D"/>
    <w:rsid w:val="00A05F91"/>
    <w:rsid w:val="00A07547"/>
    <w:rsid w:val="00A07A4C"/>
    <w:rsid w:val="00A10656"/>
    <w:rsid w:val="00A117FC"/>
    <w:rsid w:val="00A13375"/>
    <w:rsid w:val="00A13664"/>
    <w:rsid w:val="00A14946"/>
    <w:rsid w:val="00A14D4F"/>
    <w:rsid w:val="00A1538D"/>
    <w:rsid w:val="00A20F6C"/>
    <w:rsid w:val="00A211BD"/>
    <w:rsid w:val="00A21F49"/>
    <w:rsid w:val="00A22E66"/>
    <w:rsid w:val="00A22F91"/>
    <w:rsid w:val="00A241A8"/>
    <w:rsid w:val="00A253EB"/>
    <w:rsid w:val="00A25838"/>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2FE4"/>
    <w:rsid w:val="00A54AE9"/>
    <w:rsid w:val="00A5520F"/>
    <w:rsid w:val="00A55E4D"/>
    <w:rsid w:val="00A572BC"/>
    <w:rsid w:val="00A572F1"/>
    <w:rsid w:val="00A57A0D"/>
    <w:rsid w:val="00A57D45"/>
    <w:rsid w:val="00A60C3F"/>
    <w:rsid w:val="00A65134"/>
    <w:rsid w:val="00A71A31"/>
    <w:rsid w:val="00A71E61"/>
    <w:rsid w:val="00A726DA"/>
    <w:rsid w:val="00A73715"/>
    <w:rsid w:val="00A73AAB"/>
    <w:rsid w:val="00A74BE9"/>
    <w:rsid w:val="00A75402"/>
    <w:rsid w:val="00A777D4"/>
    <w:rsid w:val="00A778E0"/>
    <w:rsid w:val="00A806BF"/>
    <w:rsid w:val="00A81C38"/>
    <w:rsid w:val="00A82250"/>
    <w:rsid w:val="00A82CDD"/>
    <w:rsid w:val="00A86376"/>
    <w:rsid w:val="00A87F2F"/>
    <w:rsid w:val="00A903A0"/>
    <w:rsid w:val="00A92396"/>
    <w:rsid w:val="00A932F6"/>
    <w:rsid w:val="00A96CFE"/>
    <w:rsid w:val="00AA11C8"/>
    <w:rsid w:val="00AA1638"/>
    <w:rsid w:val="00AA19C9"/>
    <w:rsid w:val="00AA1C1A"/>
    <w:rsid w:val="00AA2766"/>
    <w:rsid w:val="00AA3920"/>
    <w:rsid w:val="00AA3F0E"/>
    <w:rsid w:val="00AA5AA1"/>
    <w:rsid w:val="00AA5B64"/>
    <w:rsid w:val="00AA7F65"/>
    <w:rsid w:val="00AB0E22"/>
    <w:rsid w:val="00AB102F"/>
    <w:rsid w:val="00AB145A"/>
    <w:rsid w:val="00AB2CFC"/>
    <w:rsid w:val="00AB3936"/>
    <w:rsid w:val="00AB4208"/>
    <w:rsid w:val="00AB494D"/>
    <w:rsid w:val="00AB4CB6"/>
    <w:rsid w:val="00AB6826"/>
    <w:rsid w:val="00AB7770"/>
    <w:rsid w:val="00AC0152"/>
    <w:rsid w:val="00AC1EAC"/>
    <w:rsid w:val="00AC2CB8"/>
    <w:rsid w:val="00AC4EDA"/>
    <w:rsid w:val="00AC51F6"/>
    <w:rsid w:val="00AC5D99"/>
    <w:rsid w:val="00AC67C8"/>
    <w:rsid w:val="00AC6AFA"/>
    <w:rsid w:val="00AC7161"/>
    <w:rsid w:val="00AD18FC"/>
    <w:rsid w:val="00AD4AF4"/>
    <w:rsid w:val="00AD4F28"/>
    <w:rsid w:val="00AE0FD8"/>
    <w:rsid w:val="00AE1178"/>
    <w:rsid w:val="00AE1930"/>
    <w:rsid w:val="00AE1FA5"/>
    <w:rsid w:val="00AE2E41"/>
    <w:rsid w:val="00AE3D8C"/>
    <w:rsid w:val="00AE40AD"/>
    <w:rsid w:val="00AE4487"/>
    <w:rsid w:val="00AE5B8E"/>
    <w:rsid w:val="00AE5E52"/>
    <w:rsid w:val="00AE78B4"/>
    <w:rsid w:val="00AE7D36"/>
    <w:rsid w:val="00AF07D2"/>
    <w:rsid w:val="00AF16CB"/>
    <w:rsid w:val="00AF4BB4"/>
    <w:rsid w:val="00AF5406"/>
    <w:rsid w:val="00AF5656"/>
    <w:rsid w:val="00B00E85"/>
    <w:rsid w:val="00B01517"/>
    <w:rsid w:val="00B040EC"/>
    <w:rsid w:val="00B06596"/>
    <w:rsid w:val="00B06FB5"/>
    <w:rsid w:val="00B1092D"/>
    <w:rsid w:val="00B10DC4"/>
    <w:rsid w:val="00B10E8E"/>
    <w:rsid w:val="00B12661"/>
    <w:rsid w:val="00B12AAD"/>
    <w:rsid w:val="00B13D30"/>
    <w:rsid w:val="00B22DB2"/>
    <w:rsid w:val="00B240E6"/>
    <w:rsid w:val="00B24176"/>
    <w:rsid w:val="00B256D8"/>
    <w:rsid w:val="00B2582F"/>
    <w:rsid w:val="00B2645A"/>
    <w:rsid w:val="00B308C7"/>
    <w:rsid w:val="00B327E7"/>
    <w:rsid w:val="00B33BC4"/>
    <w:rsid w:val="00B33FFA"/>
    <w:rsid w:val="00B34EF8"/>
    <w:rsid w:val="00B3716C"/>
    <w:rsid w:val="00B3728A"/>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608E5"/>
    <w:rsid w:val="00B61DF3"/>
    <w:rsid w:val="00B63286"/>
    <w:rsid w:val="00B63BD4"/>
    <w:rsid w:val="00B64B25"/>
    <w:rsid w:val="00B660ED"/>
    <w:rsid w:val="00B66AF4"/>
    <w:rsid w:val="00B66B5F"/>
    <w:rsid w:val="00B671DC"/>
    <w:rsid w:val="00B737A8"/>
    <w:rsid w:val="00B73E28"/>
    <w:rsid w:val="00B74A44"/>
    <w:rsid w:val="00B74E7B"/>
    <w:rsid w:val="00B74F51"/>
    <w:rsid w:val="00B7531A"/>
    <w:rsid w:val="00B76B50"/>
    <w:rsid w:val="00B77923"/>
    <w:rsid w:val="00B81073"/>
    <w:rsid w:val="00B81759"/>
    <w:rsid w:val="00B81A02"/>
    <w:rsid w:val="00B82A7E"/>
    <w:rsid w:val="00B86074"/>
    <w:rsid w:val="00B86D29"/>
    <w:rsid w:val="00B8783E"/>
    <w:rsid w:val="00B9073B"/>
    <w:rsid w:val="00B90CB2"/>
    <w:rsid w:val="00B91FC7"/>
    <w:rsid w:val="00B924F1"/>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1D5"/>
    <w:rsid w:val="00BC5B46"/>
    <w:rsid w:val="00BC6617"/>
    <w:rsid w:val="00BD0B63"/>
    <w:rsid w:val="00BD0DAA"/>
    <w:rsid w:val="00BD1358"/>
    <w:rsid w:val="00BD197D"/>
    <w:rsid w:val="00BD3FB9"/>
    <w:rsid w:val="00BD69A9"/>
    <w:rsid w:val="00BD7227"/>
    <w:rsid w:val="00BE0CD7"/>
    <w:rsid w:val="00BE0FC5"/>
    <w:rsid w:val="00BE1589"/>
    <w:rsid w:val="00BE1594"/>
    <w:rsid w:val="00BE17FB"/>
    <w:rsid w:val="00BE1E8C"/>
    <w:rsid w:val="00BE3C38"/>
    <w:rsid w:val="00BE7377"/>
    <w:rsid w:val="00BE76D4"/>
    <w:rsid w:val="00BE77A5"/>
    <w:rsid w:val="00BF019A"/>
    <w:rsid w:val="00BF1A21"/>
    <w:rsid w:val="00BF1A8A"/>
    <w:rsid w:val="00BF1AF8"/>
    <w:rsid w:val="00BF1C4A"/>
    <w:rsid w:val="00BF20A9"/>
    <w:rsid w:val="00BF31E9"/>
    <w:rsid w:val="00BF335F"/>
    <w:rsid w:val="00BF3597"/>
    <w:rsid w:val="00BF4350"/>
    <w:rsid w:val="00BF529E"/>
    <w:rsid w:val="00BF5D92"/>
    <w:rsid w:val="00BF667C"/>
    <w:rsid w:val="00BF7204"/>
    <w:rsid w:val="00C0104E"/>
    <w:rsid w:val="00C012FE"/>
    <w:rsid w:val="00C01F78"/>
    <w:rsid w:val="00C037B7"/>
    <w:rsid w:val="00C04DDD"/>
    <w:rsid w:val="00C063FD"/>
    <w:rsid w:val="00C067AB"/>
    <w:rsid w:val="00C10C7F"/>
    <w:rsid w:val="00C1206D"/>
    <w:rsid w:val="00C12C34"/>
    <w:rsid w:val="00C12DF8"/>
    <w:rsid w:val="00C13C8F"/>
    <w:rsid w:val="00C150EA"/>
    <w:rsid w:val="00C167C8"/>
    <w:rsid w:val="00C16FD5"/>
    <w:rsid w:val="00C2121A"/>
    <w:rsid w:val="00C21315"/>
    <w:rsid w:val="00C2133D"/>
    <w:rsid w:val="00C225F0"/>
    <w:rsid w:val="00C23AC2"/>
    <w:rsid w:val="00C24D8B"/>
    <w:rsid w:val="00C25C37"/>
    <w:rsid w:val="00C25E77"/>
    <w:rsid w:val="00C27659"/>
    <w:rsid w:val="00C30DDC"/>
    <w:rsid w:val="00C3123A"/>
    <w:rsid w:val="00C3196A"/>
    <w:rsid w:val="00C32D47"/>
    <w:rsid w:val="00C375F6"/>
    <w:rsid w:val="00C42B45"/>
    <w:rsid w:val="00C433F9"/>
    <w:rsid w:val="00C443E4"/>
    <w:rsid w:val="00C452E2"/>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4F93"/>
    <w:rsid w:val="00C71BEA"/>
    <w:rsid w:val="00C72731"/>
    <w:rsid w:val="00C72F15"/>
    <w:rsid w:val="00C73E23"/>
    <w:rsid w:val="00C7429F"/>
    <w:rsid w:val="00C75370"/>
    <w:rsid w:val="00C75FE8"/>
    <w:rsid w:val="00C76048"/>
    <w:rsid w:val="00C76D94"/>
    <w:rsid w:val="00C81354"/>
    <w:rsid w:val="00C831C2"/>
    <w:rsid w:val="00C848EC"/>
    <w:rsid w:val="00C85880"/>
    <w:rsid w:val="00C876A8"/>
    <w:rsid w:val="00C87827"/>
    <w:rsid w:val="00C87881"/>
    <w:rsid w:val="00C87BC1"/>
    <w:rsid w:val="00C87FAA"/>
    <w:rsid w:val="00C9170E"/>
    <w:rsid w:val="00C91B39"/>
    <w:rsid w:val="00C92AF5"/>
    <w:rsid w:val="00C931E4"/>
    <w:rsid w:val="00C93A3D"/>
    <w:rsid w:val="00C967A1"/>
    <w:rsid w:val="00C96FBE"/>
    <w:rsid w:val="00CA30EE"/>
    <w:rsid w:val="00CA36CE"/>
    <w:rsid w:val="00CA3E7B"/>
    <w:rsid w:val="00CA6442"/>
    <w:rsid w:val="00CA79FB"/>
    <w:rsid w:val="00CB1E63"/>
    <w:rsid w:val="00CB4BA4"/>
    <w:rsid w:val="00CB5B69"/>
    <w:rsid w:val="00CB71DD"/>
    <w:rsid w:val="00CB75A5"/>
    <w:rsid w:val="00CB79CC"/>
    <w:rsid w:val="00CC119D"/>
    <w:rsid w:val="00CC20AF"/>
    <w:rsid w:val="00CC3A43"/>
    <w:rsid w:val="00CC3E16"/>
    <w:rsid w:val="00CC550C"/>
    <w:rsid w:val="00CD047E"/>
    <w:rsid w:val="00CD0B90"/>
    <w:rsid w:val="00CD166C"/>
    <w:rsid w:val="00CD24F2"/>
    <w:rsid w:val="00CD2D81"/>
    <w:rsid w:val="00CD2DDF"/>
    <w:rsid w:val="00CD3A51"/>
    <w:rsid w:val="00CD4F73"/>
    <w:rsid w:val="00CD593C"/>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6C3"/>
    <w:rsid w:val="00D063FF"/>
    <w:rsid w:val="00D06875"/>
    <w:rsid w:val="00D1007B"/>
    <w:rsid w:val="00D1102F"/>
    <w:rsid w:val="00D11E77"/>
    <w:rsid w:val="00D123E2"/>
    <w:rsid w:val="00D14921"/>
    <w:rsid w:val="00D15282"/>
    <w:rsid w:val="00D1592A"/>
    <w:rsid w:val="00D1753B"/>
    <w:rsid w:val="00D17B41"/>
    <w:rsid w:val="00D207A3"/>
    <w:rsid w:val="00D209A1"/>
    <w:rsid w:val="00D216E9"/>
    <w:rsid w:val="00D22075"/>
    <w:rsid w:val="00D220AB"/>
    <w:rsid w:val="00D22D2E"/>
    <w:rsid w:val="00D23317"/>
    <w:rsid w:val="00D243B6"/>
    <w:rsid w:val="00D24813"/>
    <w:rsid w:val="00D26D03"/>
    <w:rsid w:val="00D30BBA"/>
    <w:rsid w:val="00D30C82"/>
    <w:rsid w:val="00D3199C"/>
    <w:rsid w:val="00D31E02"/>
    <w:rsid w:val="00D324F9"/>
    <w:rsid w:val="00D3335A"/>
    <w:rsid w:val="00D33AEC"/>
    <w:rsid w:val="00D33E3E"/>
    <w:rsid w:val="00D3523D"/>
    <w:rsid w:val="00D35DBD"/>
    <w:rsid w:val="00D36679"/>
    <w:rsid w:val="00D379C8"/>
    <w:rsid w:val="00D40CFE"/>
    <w:rsid w:val="00D411F9"/>
    <w:rsid w:val="00D44204"/>
    <w:rsid w:val="00D453B9"/>
    <w:rsid w:val="00D4544B"/>
    <w:rsid w:val="00D47CF2"/>
    <w:rsid w:val="00D51540"/>
    <w:rsid w:val="00D52313"/>
    <w:rsid w:val="00D551ED"/>
    <w:rsid w:val="00D552D5"/>
    <w:rsid w:val="00D56A6A"/>
    <w:rsid w:val="00D5763B"/>
    <w:rsid w:val="00D60642"/>
    <w:rsid w:val="00D60851"/>
    <w:rsid w:val="00D612E5"/>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F39"/>
    <w:rsid w:val="00D90C52"/>
    <w:rsid w:val="00D93C19"/>
    <w:rsid w:val="00D94C52"/>
    <w:rsid w:val="00D96697"/>
    <w:rsid w:val="00D972CB"/>
    <w:rsid w:val="00DA163C"/>
    <w:rsid w:val="00DA214C"/>
    <w:rsid w:val="00DA24FB"/>
    <w:rsid w:val="00DA3116"/>
    <w:rsid w:val="00DA34A3"/>
    <w:rsid w:val="00DA4CC3"/>
    <w:rsid w:val="00DA550C"/>
    <w:rsid w:val="00DA70A6"/>
    <w:rsid w:val="00DB1E3B"/>
    <w:rsid w:val="00DB3B9C"/>
    <w:rsid w:val="00DB4E17"/>
    <w:rsid w:val="00DB556A"/>
    <w:rsid w:val="00DB6C77"/>
    <w:rsid w:val="00DB7013"/>
    <w:rsid w:val="00DB726E"/>
    <w:rsid w:val="00DC0A41"/>
    <w:rsid w:val="00DC1AD1"/>
    <w:rsid w:val="00DC29BD"/>
    <w:rsid w:val="00DC5EB4"/>
    <w:rsid w:val="00DC6005"/>
    <w:rsid w:val="00DD15F9"/>
    <w:rsid w:val="00DD206B"/>
    <w:rsid w:val="00DD20B2"/>
    <w:rsid w:val="00DD373A"/>
    <w:rsid w:val="00DD3BFB"/>
    <w:rsid w:val="00DD4091"/>
    <w:rsid w:val="00DD423A"/>
    <w:rsid w:val="00DD43C5"/>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2DD"/>
    <w:rsid w:val="00DF6F3C"/>
    <w:rsid w:val="00E01272"/>
    <w:rsid w:val="00E012B7"/>
    <w:rsid w:val="00E028B7"/>
    <w:rsid w:val="00E029C0"/>
    <w:rsid w:val="00E02C12"/>
    <w:rsid w:val="00E039EA"/>
    <w:rsid w:val="00E03C50"/>
    <w:rsid w:val="00E03FF5"/>
    <w:rsid w:val="00E05652"/>
    <w:rsid w:val="00E0597B"/>
    <w:rsid w:val="00E05F2C"/>
    <w:rsid w:val="00E06ACC"/>
    <w:rsid w:val="00E0730B"/>
    <w:rsid w:val="00E11EC1"/>
    <w:rsid w:val="00E127D2"/>
    <w:rsid w:val="00E13913"/>
    <w:rsid w:val="00E1408C"/>
    <w:rsid w:val="00E17F30"/>
    <w:rsid w:val="00E20247"/>
    <w:rsid w:val="00E20D1E"/>
    <w:rsid w:val="00E22A09"/>
    <w:rsid w:val="00E22C84"/>
    <w:rsid w:val="00E2318A"/>
    <w:rsid w:val="00E238EC"/>
    <w:rsid w:val="00E25017"/>
    <w:rsid w:val="00E25A62"/>
    <w:rsid w:val="00E2735C"/>
    <w:rsid w:val="00E30223"/>
    <w:rsid w:val="00E30680"/>
    <w:rsid w:val="00E3085A"/>
    <w:rsid w:val="00E31B62"/>
    <w:rsid w:val="00E33553"/>
    <w:rsid w:val="00E336E1"/>
    <w:rsid w:val="00E33BA5"/>
    <w:rsid w:val="00E34E88"/>
    <w:rsid w:val="00E36E4B"/>
    <w:rsid w:val="00E37AED"/>
    <w:rsid w:val="00E37F46"/>
    <w:rsid w:val="00E43BBE"/>
    <w:rsid w:val="00E44048"/>
    <w:rsid w:val="00E44392"/>
    <w:rsid w:val="00E44D93"/>
    <w:rsid w:val="00E45619"/>
    <w:rsid w:val="00E45D80"/>
    <w:rsid w:val="00E46169"/>
    <w:rsid w:val="00E47E6D"/>
    <w:rsid w:val="00E47F8E"/>
    <w:rsid w:val="00E52005"/>
    <w:rsid w:val="00E5203D"/>
    <w:rsid w:val="00E540C6"/>
    <w:rsid w:val="00E5466F"/>
    <w:rsid w:val="00E54CE9"/>
    <w:rsid w:val="00E5636D"/>
    <w:rsid w:val="00E56E24"/>
    <w:rsid w:val="00E6185A"/>
    <w:rsid w:val="00E626B6"/>
    <w:rsid w:val="00E631C2"/>
    <w:rsid w:val="00E646E5"/>
    <w:rsid w:val="00E64DC8"/>
    <w:rsid w:val="00E6573B"/>
    <w:rsid w:val="00E65BBE"/>
    <w:rsid w:val="00E67916"/>
    <w:rsid w:val="00E67C1B"/>
    <w:rsid w:val="00E740B7"/>
    <w:rsid w:val="00E817FE"/>
    <w:rsid w:val="00E8192C"/>
    <w:rsid w:val="00E829A1"/>
    <w:rsid w:val="00E835AB"/>
    <w:rsid w:val="00E83966"/>
    <w:rsid w:val="00E84354"/>
    <w:rsid w:val="00E84676"/>
    <w:rsid w:val="00E86A92"/>
    <w:rsid w:val="00E877F8"/>
    <w:rsid w:val="00E94E9C"/>
    <w:rsid w:val="00E94EF9"/>
    <w:rsid w:val="00E952BA"/>
    <w:rsid w:val="00E95523"/>
    <w:rsid w:val="00E959AA"/>
    <w:rsid w:val="00E96D6F"/>
    <w:rsid w:val="00EA2AA4"/>
    <w:rsid w:val="00EA3470"/>
    <w:rsid w:val="00EA35E4"/>
    <w:rsid w:val="00EA4001"/>
    <w:rsid w:val="00EA4A14"/>
    <w:rsid w:val="00EA4DEB"/>
    <w:rsid w:val="00EA5E9E"/>
    <w:rsid w:val="00EA6F6A"/>
    <w:rsid w:val="00EB2913"/>
    <w:rsid w:val="00EB3454"/>
    <w:rsid w:val="00EB4F41"/>
    <w:rsid w:val="00EB5CC6"/>
    <w:rsid w:val="00EB6D43"/>
    <w:rsid w:val="00EB6F18"/>
    <w:rsid w:val="00EB73B9"/>
    <w:rsid w:val="00EB7522"/>
    <w:rsid w:val="00EC0D7A"/>
    <w:rsid w:val="00EC1A40"/>
    <w:rsid w:val="00EC6013"/>
    <w:rsid w:val="00EC622D"/>
    <w:rsid w:val="00EC6356"/>
    <w:rsid w:val="00EC67A2"/>
    <w:rsid w:val="00ED1983"/>
    <w:rsid w:val="00ED28B9"/>
    <w:rsid w:val="00ED28FB"/>
    <w:rsid w:val="00ED6E9A"/>
    <w:rsid w:val="00ED75C5"/>
    <w:rsid w:val="00ED7A78"/>
    <w:rsid w:val="00EE1B0C"/>
    <w:rsid w:val="00EE1F63"/>
    <w:rsid w:val="00EE21A0"/>
    <w:rsid w:val="00EE3FDE"/>
    <w:rsid w:val="00EE46C2"/>
    <w:rsid w:val="00EF066A"/>
    <w:rsid w:val="00EF0DE7"/>
    <w:rsid w:val="00EF1613"/>
    <w:rsid w:val="00EF2005"/>
    <w:rsid w:val="00EF29EC"/>
    <w:rsid w:val="00EF2A25"/>
    <w:rsid w:val="00EF32AE"/>
    <w:rsid w:val="00EF3D44"/>
    <w:rsid w:val="00EF4156"/>
    <w:rsid w:val="00EF462D"/>
    <w:rsid w:val="00EF5304"/>
    <w:rsid w:val="00EF5A08"/>
    <w:rsid w:val="00F002E3"/>
    <w:rsid w:val="00F016D0"/>
    <w:rsid w:val="00F01F8B"/>
    <w:rsid w:val="00F02971"/>
    <w:rsid w:val="00F02E09"/>
    <w:rsid w:val="00F03837"/>
    <w:rsid w:val="00F0390A"/>
    <w:rsid w:val="00F03CFA"/>
    <w:rsid w:val="00F076D4"/>
    <w:rsid w:val="00F07B59"/>
    <w:rsid w:val="00F10029"/>
    <w:rsid w:val="00F11313"/>
    <w:rsid w:val="00F14462"/>
    <w:rsid w:val="00F15353"/>
    <w:rsid w:val="00F15ABE"/>
    <w:rsid w:val="00F1631D"/>
    <w:rsid w:val="00F17222"/>
    <w:rsid w:val="00F218B7"/>
    <w:rsid w:val="00F21FF3"/>
    <w:rsid w:val="00F229CA"/>
    <w:rsid w:val="00F22A3C"/>
    <w:rsid w:val="00F22F67"/>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C0"/>
    <w:rsid w:val="00F46578"/>
    <w:rsid w:val="00F46D23"/>
    <w:rsid w:val="00F46EA0"/>
    <w:rsid w:val="00F46F5B"/>
    <w:rsid w:val="00F4773C"/>
    <w:rsid w:val="00F50E16"/>
    <w:rsid w:val="00F51B6E"/>
    <w:rsid w:val="00F5219F"/>
    <w:rsid w:val="00F526CC"/>
    <w:rsid w:val="00F52BEF"/>
    <w:rsid w:val="00F53C98"/>
    <w:rsid w:val="00F55034"/>
    <w:rsid w:val="00F5669A"/>
    <w:rsid w:val="00F6161C"/>
    <w:rsid w:val="00F63101"/>
    <w:rsid w:val="00F6363E"/>
    <w:rsid w:val="00F6528D"/>
    <w:rsid w:val="00F66BC6"/>
    <w:rsid w:val="00F671D3"/>
    <w:rsid w:val="00F67A6B"/>
    <w:rsid w:val="00F70010"/>
    <w:rsid w:val="00F70A7B"/>
    <w:rsid w:val="00F70EEB"/>
    <w:rsid w:val="00F712A5"/>
    <w:rsid w:val="00F73112"/>
    <w:rsid w:val="00F73AED"/>
    <w:rsid w:val="00F73D40"/>
    <w:rsid w:val="00F752DD"/>
    <w:rsid w:val="00F7561A"/>
    <w:rsid w:val="00F81D0C"/>
    <w:rsid w:val="00F84052"/>
    <w:rsid w:val="00F8583B"/>
    <w:rsid w:val="00F8701C"/>
    <w:rsid w:val="00F90D59"/>
    <w:rsid w:val="00F90F73"/>
    <w:rsid w:val="00F91ECF"/>
    <w:rsid w:val="00F9252B"/>
    <w:rsid w:val="00F92830"/>
    <w:rsid w:val="00F9298F"/>
    <w:rsid w:val="00F93697"/>
    <w:rsid w:val="00F93CAA"/>
    <w:rsid w:val="00F94AE2"/>
    <w:rsid w:val="00F95CCE"/>
    <w:rsid w:val="00FA0005"/>
    <w:rsid w:val="00FA3714"/>
    <w:rsid w:val="00FA39FD"/>
    <w:rsid w:val="00FA51D5"/>
    <w:rsid w:val="00FA56CF"/>
    <w:rsid w:val="00FB015D"/>
    <w:rsid w:val="00FB04DF"/>
    <w:rsid w:val="00FB1152"/>
    <w:rsid w:val="00FB242B"/>
    <w:rsid w:val="00FB3120"/>
    <w:rsid w:val="00FB3818"/>
    <w:rsid w:val="00FB5502"/>
    <w:rsid w:val="00FB5A07"/>
    <w:rsid w:val="00FB5F1A"/>
    <w:rsid w:val="00FC0D6C"/>
    <w:rsid w:val="00FC3064"/>
    <w:rsid w:val="00FC331F"/>
    <w:rsid w:val="00FC3564"/>
    <w:rsid w:val="00FC3D64"/>
    <w:rsid w:val="00FC4752"/>
    <w:rsid w:val="00FC4A29"/>
    <w:rsid w:val="00FC52D1"/>
    <w:rsid w:val="00FC5B09"/>
    <w:rsid w:val="00FC60CA"/>
    <w:rsid w:val="00FC684A"/>
    <w:rsid w:val="00FD02B9"/>
    <w:rsid w:val="00FD0934"/>
    <w:rsid w:val="00FD19C1"/>
    <w:rsid w:val="00FD2790"/>
    <w:rsid w:val="00FD352B"/>
    <w:rsid w:val="00FD3A06"/>
    <w:rsid w:val="00FD4BB7"/>
    <w:rsid w:val="00FD4C1D"/>
    <w:rsid w:val="00FD6CF1"/>
    <w:rsid w:val="00FD7149"/>
    <w:rsid w:val="00FD74E6"/>
    <w:rsid w:val="00FE0204"/>
    <w:rsid w:val="00FE030B"/>
    <w:rsid w:val="00FE065A"/>
    <w:rsid w:val="00FE1695"/>
    <w:rsid w:val="00FE22A6"/>
    <w:rsid w:val="00FE3C8D"/>
    <w:rsid w:val="00FE59F2"/>
    <w:rsid w:val="00FE6426"/>
    <w:rsid w:val="00FE6B6A"/>
    <w:rsid w:val="00FE70C6"/>
    <w:rsid w:val="00FE7288"/>
    <w:rsid w:val="00FE7381"/>
    <w:rsid w:val="00FF16FA"/>
    <w:rsid w:val="00FF19E4"/>
    <w:rsid w:val="00FF23E7"/>
    <w:rsid w:val="00FF3337"/>
    <w:rsid w:val="00FF6471"/>
    <w:rsid w:val="00FF6493"/>
    <w:rsid w:val="00FF775E"/>
    <w:rsid w:val="00FF7B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0D5E5"/>
  <w15:docId w15:val="{5324BD51-2231-4F52-A22D-985E0C6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94"/>
  </w:style>
  <w:style w:type="paragraph" w:styleId="Heading2">
    <w:name w:val="heading 2"/>
    <w:basedOn w:val="Normal"/>
    <w:next w:val="Normal"/>
    <w:link w:val="Heading2Char"/>
    <w:uiPriority w:val="9"/>
    <w:unhideWhenUsed/>
    <w:qFormat/>
    <w:rsid w:val="00DF62D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76"/>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E2E41"/>
    <w:rPr>
      <w:rFonts w:ascii="Times New Roman" w:hAnsi="Times New Roman" w:cs="Times New Roman"/>
      <w:sz w:val="24"/>
      <w:szCs w:val="24"/>
    </w:rPr>
  </w:style>
  <w:style w:type="character" w:styleId="Hyperlink">
    <w:name w:val="Hyperlink"/>
    <w:basedOn w:val="DefaultParagraphFont"/>
    <w:uiPriority w:val="99"/>
    <w:unhideWhenUsed/>
    <w:rsid w:val="00AE2E41"/>
    <w:rPr>
      <w:color w:val="0000FF"/>
      <w:u w:val="single"/>
    </w:rPr>
  </w:style>
  <w:style w:type="paragraph" w:styleId="FootnoteText">
    <w:name w:val="footnote text"/>
    <w:basedOn w:val="Normal"/>
    <w:link w:val="FootnoteTextChar"/>
    <w:uiPriority w:val="99"/>
    <w:unhideWhenUsed/>
    <w:rsid w:val="00AE2E41"/>
    <w:pPr>
      <w:spacing w:after="0" w:line="240" w:lineRule="auto"/>
    </w:pPr>
    <w:rPr>
      <w:sz w:val="20"/>
      <w:szCs w:val="20"/>
    </w:rPr>
  </w:style>
  <w:style w:type="character" w:customStyle="1" w:styleId="FootnoteTextChar">
    <w:name w:val="Footnote Text Char"/>
    <w:basedOn w:val="DefaultParagraphFont"/>
    <w:link w:val="FootnoteText"/>
    <w:uiPriority w:val="99"/>
    <w:rsid w:val="00AE2E41"/>
    <w:rPr>
      <w:sz w:val="20"/>
      <w:szCs w:val="20"/>
    </w:rPr>
  </w:style>
  <w:style w:type="character" w:styleId="FootnoteReference">
    <w:name w:val="footnote reference"/>
    <w:basedOn w:val="DefaultParagraphFont"/>
    <w:uiPriority w:val="99"/>
    <w:unhideWhenUsed/>
    <w:rsid w:val="00AE2E41"/>
    <w:rPr>
      <w:vertAlign w:val="superscript"/>
    </w:rPr>
  </w:style>
  <w:style w:type="character" w:customStyle="1" w:styleId="apple-converted-space">
    <w:name w:val="apple-converted-space"/>
    <w:basedOn w:val="DefaultParagraphFont"/>
    <w:rsid w:val="0040112D"/>
  </w:style>
  <w:style w:type="paragraph" w:customStyle="1" w:styleId="caption1">
    <w:name w:val="caption1"/>
    <w:basedOn w:val="Normal"/>
    <w:rsid w:val="008C47DD"/>
    <w:pPr>
      <w:spacing w:after="105" w:line="240" w:lineRule="auto"/>
    </w:pPr>
    <w:rPr>
      <w:rFonts w:ascii="Times New Roman" w:eastAsia="Times New Roman" w:hAnsi="Times New Roman" w:cs="Times New Roman"/>
      <w:i/>
      <w:iCs/>
      <w:sz w:val="24"/>
      <w:szCs w:val="24"/>
      <w:lang w:eastAsia="lt-LT"/>
    </w:rPr>
  </w:style>
  <w:style w:type="character" w:styleId="CommentReference">
    <w:name w:val="annotation reference"/>
    <w:basedOn w:val="DefaultParagraphFont"/>
    <w:uiPriority w:val="99"/>
    <w:semiHidden/>
    <w:unhideWhenUsed/>
    <w:rsid w:val="00894FB2"/>
    <w:rPr>
      <w:sz w:val="18"/>
      <w:szCs w:val="18"/>
    </w:rPr>
  </w:style>
  <w:style w:type="paragraph" w:styleId="CommentText">
    <w:name w:val="annotation text"/>
    <w:basedOn w:val="Normal"/>
    <w:link w:val="CommentTextChar"/>
    <w:uiPriority w:val="99"/>
    <w:semiHidden/>
    <w:unhideWhenUsed/>
    <w:rsid w:val="00894FB2"/>
    <w:pPr>
      <w:spacing w:line="240" w:lineRule="auto"/>
    </w:pPr>
    <w:rPr>
      <w:sz w:val="24"/>
      <w:szCs w:val="24"/>
    </w:rPr>
  </w:style>
  <w:style w:type="character" w:customStyle="1" w:styleId="CommentTextChar">
    <w:name w:val="Comment Text Char"/>
    <w:basedOn w:val="DefaultParagraphFont"/>
    <w:link w:val="CommentText"/>
    <w:uiPriority w:val="99"/>
    <w:semiHidden/>
    <w:rsid w:val="00894FB2"/>
    <w:rPr>
      <w:sz w:val="24"/>
      <w:szCs w:val="24"/>
    </w:rPr>
  </w:style>
  <w:style w:type="paragraph" w:styleId="CommentSubject">
    <w:name w:val="annotation subject"/>
    <w:basedOn w:val="CommentText"/>
    <w:next w:val="CommentText"/>
    <w:link w:val="CommentSubjectChar"/>
    <w:uiPriority w:val="99"/>
    <w:semiHidden/>
    <w:unhideWhenUsed/>
    <w:rsid w:val="00894FB2"/>
    <w:rPr>
      <w:b/>
      <w:bCs/>
      <w:sz w:val="20"/>
      <w:szCs w:val="20"/>
    </w:rPr>
  </w:style>
  <w:style w:type="character" w:customStyle="1" w:styleId="CommentSubjectChar">
    <w:name w:val="Comment Subject Char"/>
    <w:basedOn w:val="CommentTextChar"/>
    <w:link w:val="CommentSubject"/>
    <w:uiPriority w:val="99"/>
    <w:semiHidden/>
    <w:rsid w:val="00894FB2"/>
    <w:rPr>
      <w:b/>
      <w:bCs/>
      <w:sz w:val="20"/>
      <w:szCs w:val="20"/>
    </w:rPr>
  </w:style>
  <w:style w:type="paragraph" w:styleId="BalloonText">
    <w:name w:val="Balloon Text"/>
    <w:basedOn w:val="Normal"/>
    <w:link w:val="BalloonTextChar"/>
    <w:uiPriority w:val="99"/>
    <w:semiHidden/>
    <w:unhideWhenUsed/>
    <w:rsid w:val="00894F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FB2"/>
    <w:rPr>
      <w:rFonts w:ascii="Lucida Grande" w:hAnsi="Lucida Grande"/>
      <w:sz w:val="18"/>
      <w:szCs w:val="18"/>
    </w:rPr>
  </w:style>
  <w:style w:type="paragraph" w:styleId="Header">
    <w:name w:val="header"/>
    <w:basedOn w:val="Normal"/>
    <w:link w:val="HeaderChar"/>
    <w:uiPriority w:val="99"/>
    <w:unhideWhenUsed/>
    <w:rsid w:val="000A0A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AD7"/>
  </w:style>
  <w:style w:type="paragraph" w:styleId="Footer">
    <w:name w:val="footer"/>
    <w:basedOn w:val="Normal"/>
    <w:link w:val="FooterChar"/>
    <w:uiPriority w:val="99"/>
    <w:unhideWhenUsed/>
    <w:rsid w:val="000A0A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AD7"/>
  </w:style>
  <w:style w:type="character" w:styleId="FollowedHyperlink">
    <w:name w:val="FollowedHyperlink"/>
    <w:basedOn w:val="DefaultParagraphFont"/>
    <w:uiPriority w:val="99"/>
    <w:semiHidden/>
    <w:unhideWhenUsed/>
    <w:rsid w:val="0007546A"/>
    <w:rPr>
      <w:color w:val="954F72" w:themeColor="followedHyperlink"/>
      <w:u w:val="single"/>
    </w:rPr>
  </w:style>
  <w:style w:type="table" w:styleId="TableGrid">
    <w:name w:val="Table Grid"/>
    <w:basedOn w:val="TableNormal"/>
    <w:uiPriority w:val="59"/>
    <w:rsid w:val="00F1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462"/>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14462"/>
    <w:rPr>
      <w:rFonts w:ascii="Times New Roman" w:eastAsia="SimSun" w:hAnsi="Times New Roman" w:cs="Mangal"/>
      <w:kern w:val="1"/>
      <w:sz w:val="24"/>
      <w:szCs w:val="24"/>
      <w:lang w:eastAsia="hi-IN" w:bidi="hi-IN"/>
    </w:rPr>
  </w:style>
  <w:style w:type="character" w:customStyle="1" w:styleId="Heading2Char">
    <w:name w:val="Heading 2 Char"/>
    <w:basedOn w:val="DefaultParagraphFont"/>
    <w:link w:val="Heading2"/>
    <w:uiPriority w:val="9"/>
    <w:rsid w:val="00DF62D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DF6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315">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3">
          <w:marLeft w:val="360"/>
          <w:marRight w:val="0"/>
          <w:marTop w:val="200"/>
          <w:marBottom w:val="0"/>
          <w:divBdr>
            <w:top w:val="none" w:sz="0" w:space="0" w:color="auto"/>
            <w:left w:val="none" w:sz="0" w:space="0" w:color="auto"/>
            <w:bottom w:val="none" w:sz="0" w:space="0" w:color="auto"/>
            <w:right w:val="none" w:sz="0" w:space="0" w:color="auto"/>
          </w:divBdr>
        </w:div>
        <w:div w:id="1367830071">
          <w:marLeft w:val="360"/>
          <w:marRight w:val="0"/>
          <w:marTop w:val="200"/>
          <w:marBottom w:val="0"/>
          <w:divBdr>
            <w:top w:val="none" w:sz="0" w:space="0" w:color="auto"/>
            <w:left w:val="none" w:sz="0" w:space="0" w:color="auto"/>
            <w:bottom w:val="none" w:sz="0" w:space="0" w:color="auto"/>
            <w:right w:val="none" w:sz="0" w:space="0" w:color="auto"/>
          </w:divBdr>
        </w:div>
        <w:div w:id="129906111">
          <w:marLeft w:val="360"/>
          <w:marRight w:val="0"/>
          <w:marTop w:val="200"/>
          <w:marBottom w:val="0"/>
          <w:divBdr>
            <w:top w:val="none" w:sz="0" w:space="0" w:color="auto"/>
            <w:left w:val="none" w:sz="0" w:space="0" w:color="auto"/>
            <w:bottom w:val="none" w:sz="0" w:space="0" w:color="auto"/>
            <w:right w:val="none" w:sz="0" w:space="0" w:color="auto"/>
          </w:divBdr>
        </w:div>
      </w:divsChild>
    </w:div>
    <w:div w:id="583343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1887">
          <w:marLeft w:val="0"/>
          <w:marRight w:val="0"/>
          <w:marTop w:val="75"/>
          <w:marBottom w:val="0"/>
          <w:divBdr>
            <w:top w:val="none" w:sz="0" w:space="0" w:color="auto"/>
            <w:left w:val="single" w:sz="6" w:space="0" w:color="CDCDCD"/>
            <w:bottom w:val="none" w:sz="0" w:space="0" w:color="auto"/>
            <w:right w:val="single" w:sz="6" w:space="0" w:color="CDCDCD"/>
          </w:divBdr>
          <w:divsChild>
            <w:div w:id="754714860">
              <w:marLeft w:val="0"/>
              <w:marRight w:val="0"/>
              <w:marTop w:val="0"/>
              <w:marBottom w:val="0"/>
              <w:divBdr>
                <w:top w:val="none" w:sz="0" w:space="0" w:color="auto"/>
                <w:left w:val="none" w:sz="0" w:space="0" w:color="auto"/>
                <w:bottom w:val="none" w:sz="0" w:space="0" w:color="auto"/>
                <w:right w:val="none" w:sz="0" w:space="0" w:color="auto"/>
              </w:divBdr>
              <w:divsChild>
                <w:div w:id="2030645663">
                  <w:marLeft w:val="0"/>
                  <w:marRight w:val="0"/>
                  <w:marTop w:val="0"/>
                  <w:marBottom w:val="0"/>
                  <w:divBdr>
                    <w:top w:val="none" w:sz="0" w:space="0" w:color="auto"/>
                    <w:left w:val="none" w:sz="0" w:space="0" w:color="auto"/>
                    <w:bottom w:val="none" w:sz="0" w:space="0" w:color="auto"/>
                    <w:right w:val="single" w:sz="6" w:space="8" w:color="CCCCCC"/>
                  </w:divBdr>
                  <w:divsChild>
                    <w:div w:id="1898778081">
                      <w:marLeft w:val="0"/>
                      <w:marRight w:val="0"/>
                      <w:marTop w:val="0"/>
                      <w:marBottom w:val="0"/>
                      <w:divBdr>
                        <w:top w:val="none" w:sz="0" w:space="0" w:color="auto"/>
                        <w:left w:val="none" w:sz="0" w:space="0" w:color="auto"/>
                        <w:bottom w:val="none" w:sz="0" w:space="0" w:color="auto"/>
                        <w:right w:val="none" w:sz="0" w:space="0" w:color="auto"/>
                      </w:divBdr>
                      <w:divsChild>
                        <w:div w:id="1029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sChild>
        <w:div w:id="351078746">
          <w:marLeft w:val="360"/>
          <w:marRight w:val="0"/>
          <w:marTop w:val="200"/>
          <w:marBottom w:val="0"/>
          <w:divBdr>
            <w:top w:val="none" w:sz="0" w:space="0" w:color="auto"/>
            <w:left w:val="none" w:sz="0" w:space="0" w:color="auto"/>
            <w:bottom w:val="none" w:sz="0" w:space="0" w:color="auto"/>
            <w:right w:val="none" w:sz="0" w:space="0" w:color="auto"/>
          </w:divBdr>
        </w:div>
        <w:div w:id="1660233393">
          <w:marLeft w:val="360"/>
          <w:marRight w:val="0"/>
          <w:marTop w:val="200"/>
          <w:marBottom w:val="0"/>
          <w:divBdr>
            <w:top w:val="none" w:sz="0" w:space="0" w:color="auto"/>
            <w:left w:val="none" w:sz="0" w:space="0" w:color="auto"/>
            <w:bottom w:val="none" w:sz="0" w:space="0" w:color="auto"/>
            <w:right w:val="none" w:sz="0" w:space="0" w:color="auto"/>
          </w:divBdr>
        </w:div>
        <w:div w:id="1809200094">
          <w:marLeft w:val="360"/>
          <w:marRight w:val="0"/>
          <w:marTop w:val="200"/>
          <w:marBottom w:val="0"/>
          <w:divBdr>
            <w:top w:val="none" w:sz="0" w:space="0" w:color="auto"/>
            <w:left w:val="none" w:sz="0" w:space="0" w:color="auto"/>
            <w:bottom w:val="none" w:sz="0" w:space="0" w:color="auto"/>
            <w:right w:val="none" w:sz="0" w:space="0" w:color="auto"/>
          </w:divBdr>
        </w:div>
        <w:div w:id="1854613279">
          <w:marLeft w:val="360"/>
          <w:marRight w:val="0"/>
          <w:marTop w:val="200"/>
          <w:marBottom w:val="0"/>
          <w:divBdr>
            <w:top w:val="none" w:sz="0" w:space="0" w:color="auto"/>
            <w:left w:val="none" w:sz="0" w:space="0" w:color="auto"/>
            <w:bottom w:val="none" w:sz="0" w:space="0" w:color="auto"/>
            <w:right w:val="none" w:sz="0" w:space="0" w:color="auto"/>
          </w:divBdr>
        </w:div>
        <w:div w:id="341782109">
          <w:marLeft w:val="360"/>
          <w:marRight w:val="0"/>
          <w:marTop w:val="200"/>
          <w:marBottom w:val="0"/>
          <w:divBdr>
            <w:top w:val="none" w:sz="0" w:space="0" w:color="auto"/>
            <w:left w:val="none" w:sz="0" w:space="0" w:color="auto"/>
            <w:bottom w:val="none" w:sz="0" w:space="0" w:color="auto"/>
            <w:right w:val="none" w:sz="0" w:space="0" w:color="auto"/>
          </w:divBdr>
        </w:div>
        <w:div w:id="617374274">
          <w:marLeft w:val="360"/>
          <w:marRight w:val="0"/>
          <w:marTop w:val="200"/>
          <w:marBottom w:val="0"/>
          <w:divBdr>
            <w:top w:val="none" w:sz="0" w:space="0" w:color="auto"/>
            <w:left w:val="none" w:sz="0" w:space="0" w:color="auto"/>
            <w:bottom w:val="none" w:sz="0" w:space="0" w:color="auto"/>
            <w:right w:val="none" w:sz="0" w:space="0" w:color="auto"/>
          </w:divBdr>
        </w:div>
        <w:div w:id="1551574369">
          <w:marLeft w:val="360"/>
          <w:marRight w:val="0"/>
          <w:marTop w:val="200"/>
          <w:marBottom w:val="0"/>
          <w:divBdr>
            <w:top w:val="none" w:sz="0" w:space="0" w:color="auto"/>
            <w:left w:val="none" w:sz="0" w:space="0" w:color="auto"/>
            <w:bottom w:val="none" w:sz="0" w:space="0" w:color="auto"/>
            <w:right w:val="none" w:sz="0" w:space="0" w:color="auto"/>
          </w:divBdr>
        </w:div>
        <w:div w:id="266162401">
          <w:marLeft w:val="360"/>
          <w:marRight w:val="0"/>
          <w:marTop w:val="200"/>
          <w:marBottom w:val="0"/>
          <w:divBdr>
            <w:top w:val="none" w:sz="0" w:space="0" w:color="auto"/>
            <w:left w:val="none" w:sz="0" w:space="0" w:color="auto"/>
            <w:bottom w:val="none" w:sz="0" w:space="0" w:color="auto"/>
            <w:right w:val="none" w:sz="0" w:space="0" w:color="auto"/>
          </w:divBdr>
        </w:div>
      </w:divsChild>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sChild>
        <w:div w:id="12259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pratc.lt/" TargetMode="External"/><Relationship Id="rId2" Type="http://schemas.openxmlformats.org/officeDocument/2006/relationships/hyperlink" Target="http://www.pratc.lt/index.php/apie-mus/item/46-informacija-apie-darbo-uzmokesti" TargetMode="External"/><Relationship Id="rId1" Type="http://schemas.openxmlformats.org/officeDocument/2006/relationships/hyperlink" Target="http://www.pratc.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5970-D403-4957-ACBA-535CD035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14308</Words>
  <Characters>8157</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19</cp:revision>
  <dcterms:created xsi:type="dcterms:W3CDTF">2015-09-21T12:54:00Z</dcterms:created>
  <dcterms:modified xsi:type="dcterms:W3CDTF">2016-06-16T08:27:00Z</dcterms:modified>
</cp:coreProperties>
</file>